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>
        <w:rPr>
          <w:b w:val="false"/>
          <w:bCs w:val="false"/>
          <w:caps/>
          <w:sz w:val="24"/>
          <w:szCs w:val="24"/>
          <w:lang w:val="uk-UA"/>
        </w:rPr>
        <w:t>09-14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(01981)</w:t>
      </w:r>
    </w:p>
    <w:p>
      <w:pPr>
        <w:pStyle w:val="Style17"/>
        <w:spacing w:lineRule="auto" w:line="240" w:before="0" w:after="0"/>
        <w:jc w:val="center"/>
        <w:rPr>
          <w:rStyle w:val="Style15"/>
          <w:b/>
          <w:b/>
          <w:bCs/>
          <w:color w:val="auto"/>
          <w:sz w:val="26"/>
          <w:szCs w:val="26"/>
          <w:u w:val="single"/>
          <w:lang w:val="uk-UA"/>
        </w:rPr>
      </w:pPr>
      <w:r>
        <w:rPr>
          <w:rStyle w:val="Style15"/>
          <w:b/>
          <w:bCs/>
          <w:color w:val="auto"/>
          <w:sz w:val="26"/>
          <w:szCs w:val="26"/>
          <w:lang w:val="uk-UA"/>
        </w:rPr>
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caps/>
          <w:sz w:val="24"/>
          <w:szCs w:val="24"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послуги)   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24"/>
        <w:gridCol w:w="5916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280"/>
              <w:ind w:right="113" w:hanging="0"/>
              <w:rPr/>
            </w:pPr>
            <w:r>
              <w:rPr/>
              <w:t>Цивільний кодекс України</w:t>
            </w:r>
          </w:p>
        </w:tc>
      </w:tr>
      <w:tr>
        <w:trPr>
          <w:trHeight w:val="218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jc w:val="center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Необхідність вчинення правочину в інтересах підопічної недієздатної особи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 xml:space="preserve">Заява опікуна недієздатної особи до </w:t>
            </w:r>
            <w:r>
              <w:rPr>
                <w:color w:val="auto"/>
                <w:lang w:val="uk-UA"/>
              </w:rPr>
              <w:t xml:space="preserve">Сєвєродонецької міської ВЦА </w:t>
            </w:r>
            <w:r>
              <w:rPr>
                <w:color w:val="auto"/>
                <w:lang w:val="uk-UA"/>
              </w:rPr>
              <w:t>(органу опіки та піклування) про отримання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 (далі – дозвіл);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rStyle w:val="Rvts0"/>
                <w:sz w:val="24"/>
                <w:szCs w:val="24"/>
              </w:rPr>
              <w:t xml:space="preserve">заява про згоду особи прийняти в управління </w:t>
            </w:r>
            <w:r>
              <w:rPr>
                <w:sz w:val="24"/>
                <w:szCs w:val="24"/>
              </w:rPr>
              <w:t>нерухоме майно або майно, яке потребує постійного управління, власником якого є недієздатна особа;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визнання особи недієздатною / про визнання особи недієздатною та призначення їй опікуна;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 xml:space="preserve">копії паспортів опікуна, недієздатної особи та особи, на укладення договору з якою надається дозвіл;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згода інших опікунів недієздатної особи (за наявності інших опікунів);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правовстановлюючого документа, що підтверджує право власності недієздатної особи на нерухоме майно;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установчі документи підприємства, власником / співвласником якого є недієздатна особа (у разі наявності);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згода співвласників нерухомого майна або майна, яке потребує постійного управління, на отримання дозволу;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документ, що підтверджує включення до Єдиного державного реєстру юридичних осіб, фізичних осіб-підприємців та громадських формувань (за наявності у недієздатної особи власного майна, яке потребує постійного управління);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документ про оціночну вартість майна, власником якого є недієздатна особа</w:t>
            </w:r>
            <w:r>
              <w:rPr>
                <w:color w:val="auto"/>
                <w:lang w:val="uk-UA"/>
              </w:rPr>
              <w:t>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/>
              <w:t>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1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475" w:leader="none"/>
              </w:tabs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Видача опікуну дозволу / в</w:t>
            </w:r>
            <w:r>
              <w:rPr>
                <w:color w:val="auto"/>
                <w:lang w:val="uk-UA" w:eastAsia="uk-UA"/>
              </w:rPr>
              <w:t xml:space="preserve">ідмова </w:t>
            </w:r>
            <w:r>
              <w:rPr>
                <w:color w:val="auto"/>
                <w:lang w:val="uk-UA"/>
              </w:rPr>
              <w:t>у наданні опікуну дозволу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</w:t>
            </w:r>
            <w:r>
              <w:rPr>
                <w:color w:val="auto"/>
                <w:lang w:val="uk-UA"/>
              </w:rPr>
              <w:t xml:space="preserve">на </w:t>
            </w:r>
            <w:r>
              <w:rPr>
                <w:color w:val="auto"/>
              </w:rPr>
              <w:t>електронн</w:t>
            </w:r>
            <w:r>
              <w:rPr>
                <w:color w:val="auto"/>
                <w:lang w:val="uk-UA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Normal"/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e7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bf7e7a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Rvts0">
    <w:name w:val="rvts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bf7e7a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bf7e7a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bf7e7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bf7e7a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en-US" w:bidi="ar-S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LibreOffice/6.2.0.3$Windows_X86_64 LibreOffice_project/98c6a8a1c6c7b144ce3cc729e34964b47ce25d62</Application>
  <Pages>2</Pages>
  <Words>567</Words>
  <Characters>4014</Characters>
  <CharactersWithSpaces>4530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2019-11-11T14:05:00Z</dcterms:created>
  <dc:creator>admin</dc:creator>
  <dc:description/>
  <dc:language>uk-UA</dc:language>
  <cp:lastModifiedBy/>
  <dcterms:modified xsi:type="dcterms:W3CDTF">2021-04-29T15:23:05Z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