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09-12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(00126)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дозволу опікуну на вчинення правочинів щодо укладення договорів щодо іншого цінного майна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Заява опікуна недієздатної особи до </w:t>
            </w:r>
            <w:r>
              <w:rPr>
                <w:sz w:val="24"/>
                <w:szCs w:val="24"/>
                <w:lang w:val="uk-UA"/>
              </w:rPr>
              <w:t xml:space="preserve">Сєвєродонецької міської ВЦА </w:t>
            </w:r>
            <w:r>
              <w:rPr>
                <w:sz w:val="24"/>
                <w:szCs w:val="24"/>
              </w:rPr>
              <w:t>(органу опіки та піклування)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про отримання дозволу опікуну на вчинення правочинів щодо укладення договорів щодо іншого цінного майна (далі – 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недієздатною/про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опікуна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LibreOffice/6.2.0.3$Windows_X86_64 LibreOffice_project/98c6a8a1c6c7b144ce3cc729e34964b47ce25d62</Application>
  <Pages>2</Pages>
  <Words>491</Words>
  <Characters>3519</Characters>
  <CharactersWithSpaces>3959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2021-04-29T13:57:36Z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