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00" w:rsidRPr="00595B4F" w:rsidRDefault="00F80500" w:rsidP="00F80500">
      <w:pPr>
        <w:jc w:val="center"/>
        <w:rPr>
          <w:b/>
          <w:sz w:val="24"/>
          <w:szCs w:val="24"/>
          <w:lang w:eastAsia="uk-UA"/>
        </w:rPr>
      </w:pPr>
    </w:p>
    <w:p w:rsidR="00F80500" w:rsidRPr="00595B4F" w:rsidRDefault="00F80500" w:rsidP="00F80500">
      <w:pPr>
        <w:tabs>
          <w:tab w:val="left" w:pos="3969"/>
        </w:tabs>
        <w:jc w:val="center"/>
        <w:rPr>
          <w:b/>
          <w:sz w:val="24"/>
          <w:szCs w:val="24"/>
          <w:lang w:eastAsia="uk-UA"/>
        </w:rPr>
      </w:pPr>
      <w:r w:rsidRPr="00595B4F">
        <w:rPr>
          <w:sz w:val="24"/>
          <w:szCs w:val="24"/>
          <w:lang w:eastAsia="uk-UA"/>
        </w:rPr>
        <w:t>Інформаційна картка адміністративної послуги №17-04</w:t>
      </w:r>
    </w:p>
    <w:p w:rsidR="00F80500" w:rsidRDefault="00F80500" w:rsidP="00F80500">
      <w:pPr>
        <w:tabs>
          <w:tab w:val="left" w:pos="3969"/>
        </w:tabs>
        <w:jc w:val="center"/>
        <w:rPr>
          <w:b/>
          <w:sz w:val="24"/>
          <w:szCs w:val="24"/>
          <w:lang w:eastAsia="uk-UA"/>
        </w:rPr>
      </w:pPr>
      <w:r w:rsidRPr="00595B4F">
        <w:rPr>
          <w:b/>
          <w:sz w:val="24"/>
          <w:szCs w:val="24"/>
          <w:lang w:eastAsia="uk-UA"/>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w:t>
      </w:r>
    </w:p>
    <w:p w:rsidR="00F80500" w:rsidRPr="00595B4F" w:rsidRDefault="00F80500" w:rsidP="00F80500">
      <w:pPr>
        <w:tabs>
          <w:tab w:val="left" w:pos="3969"/>
        </w:tabs>
        <w:jc w:val="center"/>
        <w:rPr>
          <w:sz w:val="24"/>
          <w:szCs w:val="24"/>
          <w:lang w:eastAsia="uk-UA"/>
        </w:rPr>
      </w:pPr>
      <w:r w:rsidRPr="00595B4F">
        <w:rPr>
          <w:b/>
          <w:sz w:val="24"/>
          <w:szCs w:val="24"/>
          <w:lang w:eastAsia="uk-UA"/>
        </w:rPr>
        <w:t>скасування рішення державного реєстратора (за рішенням суду)</w:t>
      </w:r>
    </w:p>
    <w:p w:rsidR="00F80500" w:rsidRPr="00595B4F" w:rsidRDefault="00F80500" w:rsidP="00F80500">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w:t>
      </w:r>
    </w:p>
    <w:p w:rsidR="00F80500" w:rsidRPr="00595B4F" w:rsidRDefault="00F80500" w:rsidP="00F80500">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F80500" w:rsidRPr="00595B4F" w:rsidRDefault="00F80500" w:rsidP="00F80500">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F80500"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F80500" w:rsidRPr="00595B4F" w:rsidRDefault="00F80500" w:rsidP="00BA1A72">
            <w:pPr>
              <w:jc w:val="center"/>
              <w:rPr>
                <w:b/>
                <w:sz w:val="24"/>
                <w:szCs w:val="24"/>
                <w:lang w:eastAsia="uk-UA"/>
              </w:rPr>
            </w:pPr>
            <w:r w:rsidRPr="00595B4F">
              <w:rPr>
                <w:b/>
                <w:sz w:val="24"/>
                <w:szCs w:val="24"/>
                <w:lang w:eastAsia="uk-UA"/>
              </w:rPr>
              <w:t>та/або центру надання адміністративних послуг</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rPr>
            </w:pPr>
            <w:r w:rsidRPr="00595B4F">
              <w:rPr>
                <w:sz w:val="24"/>
                <w:szCs w:val="24"/>
              </w:rPr>
              <w:t>Понеділок – середа з 08.30 до 15.30</w:t>
            </w:r>
            <w:r w:rsidRPr="00595B4F">
              <w:rPr>
                <w:sz w:val="24"/>
                <w:szCs w:val="24"/>
              </w:rPr>
              <w:tab/>
            </w:r>
          </w:p>
          <w:p w:rsidR="00F80500" w:rsidRPr="00595B4F" w:rsidRDefault="00F80500" w:rsidP="00BA1A72">
            <w:pPr>
              <w:rPr>
                <w:sz w:val="24"/>
                <w:szCs w:val="24"/>
              </w:rPr>
            </w:pPr>
            <w:r w:rsidRPr="00595B4F">
              <w:rPr>
                <w:sz w:val="24"/>
                <w:szCs w:val="24"/>
              </w:rPr>
              <w:t>Четвер  з 09.30 до 20.00</w:t>
            </w:r>
          </w:p>
          <w:p w:rsidR="00F80500" w:rsidRPr="00595B4F" w:rsidRDefault="00F80500" w:rsidP="00BA1A72">
            <w:pPr>
              <w:rPr>
                <w:i/>
                <w:sz w:val="24"/>
                <w:szCs w:val="24"/>
                <w:lang w:eastAsia="uk-UA"/>
              </w:rPr>
            </w:pPr>
            <w:r w:rsidRPr="00595B4F">
              <w:rPr>
                <w:sz w:val="24"/>
                <w:szCs w:val="24"/>
              </w:rPr>
              <w:t>П’ятниця з 08.00 до 15.00</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rPr>
            </w:pPr>
            <w:r w:rsidRPr="00595B4F">
              <w:rPr>
                <w:sz w:val="24"/>
                <w:szCs w:val="24"/>
              </w:rPr>
              <w:t>тел.: (06452) 4-43-37       факс: (06452) 2-73-41</w:t>
            </w:r>
          </w:p>
          <w:p w:rsidR="00F80500" w:rsidRPr="00595B4F" w:rsidRDefault="00F80500" w:rsidP="00BA1A72">
            <w:pPr>
              <w:rPr>
                <w:sz w:val="24"/>
                <w:szCs w:val="24"/>
              </w:rPr>
            </w:pPr>
            <w:r w:rsidRPr="00595B4F">
              <w:rPr>
                <w:sz w:val="24"/>
                <w:szCs w:val="24"/>
              </w:rPr>
              <w:t xml:space="preserve">електронна адреса: </w:t>
            </w:r>
          </w:p>
          <w:p w:rsidR="00F80500" w:rsidRPr="00595B4F" w:rsidRDefault="00F80500" w:rsidP="00BA1A72">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F80500" w:rsidRPr="00595B4F" w:rsidRDefault="00F80500" w:rsidP="00BA1A72">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F80500"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Default="00F80500" w:rsidP="00BA1A72">
            <w:pPr>
              <w:tabs>
                <w:tab w:val="left" w:pos="2805"/>
              </w:tabs>
              <w:rPr>
                <w:sz w:val="24"/>
                <w:szCs w:val="24"/>
                <w:lang w:eastAsia="uk-UA"/>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F80500" w:rsidRPr="00595B4F" w:rsidRDefault="00F80500" w:rsidP="00BA1A72">
            <w:pPr>
              <w:pStyle w:val="a3"/>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80500" w:rsidRPr="00595B4F" w:rsidRDefault="00F80500" w:rsidP="00BA1A72">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F80500" w:rsidRPr="00595B4F" w:rsidRDefault="00F80500" w:rsidP="00BA1A72">
            <w:pPr>
              <w:ind w:firstLine="217"/>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6</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80500" w:rsidRPr="00595B4F" w:rsidRDefault="00F80500" w:rsidP="00BA1A72">
            <w:pPr>
              <w:pStyle w:val="a3"/>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F80500"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jc w:val="center"/>
              <w:rPr>
                <w:b/>
                <w:sz w:val="24"/>
                <w:szCs w:val="24"/>
                <w:lang w:eastAsia="uk-UA"/>
              </w:rPr>
            </w:pPr>
            <w:r w:rsidRPr="00595B4F">
              <w:rPr>
                <w:b/>
                <w:sz w:val="24"/>
                <w:szCs w:val="24"/>
                <w:lang w:eastAsia="uk-UA"/>
              </w:rPr>
              <w:t>Умови отримання адміністративної послуги</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7</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8</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ind w:firstLine="223"/>
              <w:rPr>
                <w:sz w:val="24"/>
                <w:szCs w:val="24"/>
                <w:lang w:eastAsia="uk-UA"/>
              </w:rPr>
            </w:pPr>
            <w:r w:rsidRPr="00595B4F">
              <w:rPr>
                <w:sz w:val="24"/>
                <w:szCs w:val="24"/>
                <w:lang w:eastAsia="uk-UA"/>
              </w:rPr>
              <w:t>Для внесення запису про скасування державної реєстрації прав подаються:</w:t>
            </w:r>
          </w:p>
          <w:p w:rsidR="00F80500" w:rsidRPr="00595B4F" w:rsidRDefault="00F80500" w:rsidP="00BA1A72">
            <w:pPr>
              <w:ind w:firstLine="223"/>
              <w:rPr>
                <w:sz w:val="24"/>
                <w:szCs w:val="24"/>
                <w:lang w:eastAsia="uk-UA"/>
              </w:rPr>
            </w:pPr>
            <w:r w:rsidRPr="00595B4F">
              <w:rPr>
                <w:sz w:val="24"/>
                <w:szCs w:val="24"/>
                <w:lang w:eastAsia="uk-UA"/>
              </w:rPr>
              <w:t>заява про скасування державної реєстрації прав, скасування рішення державного реєстратора.</w:t>
            </w:r>
          </w:p>
          <w:p w:rsidR="00F80500" w:rsidRPr="00595B4F" w:rsidRDefault="00F80500" w:rsidP="00BA1A72">
            <w:pPr>
              <w:ind w:firstLine="223"/>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F80500" w:rsidRPr="00595B4F" w:rsidRDefault="00F80500" w:rsidP="00BA1A72">
            <w:pPr>
              <w:ind w:firstLine="223"/>
              <w:rPr>
                <w:sz w:val="24"/>
                <w:szCs w:val="24"/>
                <w:lang w:eastAsia="uk-UA"/>
              </w:rPr>
            </w:pPr>
            <w:r w:rsidRPr="00595B4F">
              <w:rPr>
                <w:sz w:val="24"/>
                <w:szCs w:val="24"/>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w:t>
            </w:r>
            <w:r w:rsidRPr="00595B4F">
              <w:rPr>
                <w:sz w:val="24"/>
                <w:szCs w:val="24"/>
                <w:lang w:eastAsia="uk-UA"/>
              </w:rPr>
              <w:lastRenderedPageBreak/>
              <w:t>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80500" w:rsidRPr="00595B4F" w:rsidRDefault="00F80500" w:rsidP="00BA1A72">
            <w:pPr>
              <w:ind w:firstLine="223"/>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F80500" w:rsidRPr="00DB2FF8" w:rsidRDefault="00F80500" w:rsidP="00BA1A72">
            <w:pPr>
              <w:ind w:firstLine="223"/>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Pr>
                <w:sz w:val="24"/>
                <w:szCs w:val="24"/>
                <w:lang w:eastAsia="uk-UA"/>
              </w:rPr>
              <w:t>;</w:t>
            </w:r>
          </w:p>
          <w:p w:rsidR="00F80500" w:rsidRPr="00595B4F" w:rsidRDefault="00F80500" w:rsidP="00BA1A72">
            <w:pPr>
              <w:ind w:firstLine="223"/>
              <w:rPr>
                <w:sz w:val="24"/>
                <w:szCs w:val="24"/>
                <w:lang w:eastAsia="uk-UA"/>
              </w:rPr>
            </w:pPr>
            <w:r w:rsidRPr="00595B4F">
              <w:rPr>
                <w:sz w:val="24"/>
                <w:szCs w:val="24"/>
                <w:lang w:eastAsia="uk-UA"/>
              </w:rPr>
              <w:t>рішення суду, що набрало законної сили.</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lastRenderedPageBreak/>
              <w:t>9</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F80500" w:rsidRPr="00595B4F" w:rsidRDefault="00F80500"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10</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highlight w:val="yellow"/>
                <w:lang w:eastAsia="uk-UA"/>
              </w:rPr>
            </w:pPr>
          </w:p>
          <w:p w:rsidR="00F80500" w:rsidRPr="00595B4F" w:rsidRDefault="00F80500" w:rsidP="00BA1A72">
            <w:pPr>
              <w:ind w:firstLine="217"/>
              <w:rPr>
                <w:sz w:val="24"/>
                <w:szCs w:val="24"/>
                <w:lang w:eastAsia="uk-UA"/>
              </w:rPr>
            </w:pPr>
            <w:r w:rsidRPr="00595B4F">
              <w:rPr>
                <w:sz w:val="24"/>
                <w:szCs w:val="24"/>
                <w:lang w:eastAsia="uk-UA"/>
              </w:rPr>
              <w:t>Адміністративна послуга надається безоплатно</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jc w:val="center"/>
              <w:rPr>
                <w:sz w:val="24"/>
                <w:szCs w:val="24"/>
                <w:lang w:eastAsia="uk-UA"/>
              </w:rPr>
            </w:pPr>
            <w:r w:rsidRPr="00595B4F">
              <w:rPr>
                <w:sz w:val="24"/>
                <w:szCs w:val="24"/>
                <w:lang w:eastAsia="uk-UA"/>
              </w:rPr>
              <w:t>11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tcPr>
          <w:p w:rsidR="00F80500" w:rsidRPr="00FE7D26" w:rsidRDefault="00F80500" w:rsidP="00BA1A72">
            <w:pPr>
              <w:jc w:val="center"/>
              <w:rPr>
                <w:sz w:val="24"/>
                <w:szCs w:val="24"/>
                <w:lang w:eastAsia="uk-UA"/>
              </w:rPr>
            </w:pPr>
            <w:r w:rsidRPr="00595B4F">
              <w:rPr>
                <w:sz w:val="24"/>
                <w:szCs w:val="24"/>
                <w:lang w:eastAsia="uk-UA"/>
              </w:rPr>
              <w:t>12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F80500" w:rsidRPr="00595B4F" w:rsidRDefault="00F80500" w:rsidP="00BA1A72">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F80500" w:rsidRPr="00595B4F" w:rsidRDefault="00F80500"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F80500" w:rsidRPr="00595B4F" w:rsidRDefault="00F80500"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F80500" w:rsidRPr="00595B4F" w:rsidRDefault="00F80500"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3) направлення запиту до суду про отримання копії рішення суду</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rPr>
                <w:sz w:val="24"/>
                <w:szCs w:val="24"/>
                <w:lang w:eastAsia="uk-UA"/>
              </w:rPr>
            </w:pPr>
            <w:r w:rsidRPr="00595B4F">
              <w:rPr>
                <w:sz w:val="24"/>
                <w:szCs w:val="24"/>
                <w:lang w:eastAsia="uk-UA"/>
              </w:rPr>
              <w:t>13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tabs>
                <w:tab w:val="left" w:pos="1565"/>
              </w:tabs>
              <w:ind w:firstLine="217"/>
              <w:rPr>
                <w:sz w:val="24"/>
                <w:szCs w:val="24"/>
                <w:lang w:eastAsia="uk-UA"/>
              </w:rPr>
            </w:pPr>
            <w:r w:rsidRPr="00595B4F">
              <w:rPr>
                <w:sz w:val="24"/>
                <w:szCs w:val="24"/>
                <w:lang w:eastAsia="uk-UA"/>
              </w:rPr>
              <w:t>У внесенні запису про скасування державної реєстрації прав може бути відмовлено, якщо:</w:t>
            </w:r>
          </w:p>
          <w:p w:rsidR="00F80500" w:rsidRPr="00595B4F" w:rsidRDefault="00F80500" w:rsidP="00BA1A72">
            <w:pPr>
              <w:tabs>
                <w:tab w:val="left" w:pos="1565"/>
              </w:tabs>
              <w:ind w:firstLine="217"/>
              <w:rPr>
                <w:color w:val="000000"/>
                <w:sz w:val="24"/>
                <w:szCs w:val="24"/>
              </w:rPr>
            </w:pPr>
            <w:r w:rsidRPr="00595B4F">
              <w:rPr>
                <w:color w:val="000000"/>
                <w:sz w:val="24"/>
                <w:szCs w:val="24"/>
              </w:rPr>
              <w:t>заява про державну реєстрацію прав подана неналежною особою;</w:t>
            </w:r>
          </w:p>
          <w:p w:rsidR="00F80500" w:rsidRPr="00595B4F" w:rsidRDefault="00F80500" w:rsidP="00BA1A72">
            <w:pPr>
              <w:tabs>
                <w:tab w:val="left" w:pos="1565"/>
              </w:tabs>
              <w:ind w:firstLine="217"/>
              <w:rPr>
                <w:color w:val="000000"/>
                <w:sz w:val="24"/>
                <w:szCs w:val="24"/>
              </w:rPr>
            </w:pPr>
            <w:r w:rsidRPr="00595B4F">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F80500" w:rsidRPr="00595B4F" w:rsidRDefault="00F80500" w:rsidP="00BA1A72">
            <w:pPr>
              <w:tabs>
                <w:tab w:val="left" w:pos="1565"/>
              </w:tabs>
              <w:ind w:firstLine="217"/>
              <w:rPr>
                <w:color w:val="000000"/>
                <w:sz w:val="24"/>
                <w:szCs w:val="24"/>
              </w:rPr>
            </w:pPr>
            <w:r w:rsidRPr="00595B4F">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F80500" w:rsidRPr="00595B4F" w:rsidRDefault="00F80500" w:rsidP="00BA1A72">
            <w:pPr>
              <w:tabs>
                <w:tab w:val="left" w:pos="1565"/>
              </w:tabs>
              <w:ind w:firstLine="217"/>
              <w:rPr>
                <w:color w:val="000000"/>
                <w:sz w:val="24"/>
                <w:szCs w:val="24"/>
              </w:rPr>
            </w:pPr>
            <w:r w:rsidRPr="00595B4F">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F80500" w:rsidRPr="00595B4F" w:rsidRDefault="00F80500" w:rsidP="00BA1A72">
            <w:pPr>
              <w:tabs>
                <w:tab w:val="left" w:pos="1565"/>
              </w:tabs>
              <w:ind w:firstLine="217"/>
              <w:rPr>
                <w:color w:val="000000"/>
                <w:sz w:val="24"/>
                <w:szCs w:val="24"/>
              </w:rPr>
            </w:pPr>
            <w:r w:rsidRPr="00595B4F">
              <w:rPr>
                <w:color w:val="000000"/>
                <w:sz w:val="24"/>
                <w:szCs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F80500" w:rsidRPr="00595B4F" w:rsidRDefault="00F80500" w:rsidP="00BA1A72">
            <w:pPr>
              <w:tabs>
                <w:tab w:val="left" w:pos="1565"/>
              </w:tabs>
              <w:ind w:firstLine="217"/>
              <w:rPr>
                <w:color w:val="000000"/>
                <w:sz w:val="24"/>
                <w:szCs w:val="24"/>
              </w:rPr>
            </w:pPr>
            <w:r w:rsidRPr="00595B4F">
              <w:rPr>
                <w:color w:val="000000"/>
                <w:sz w:val="24"/>
                <w:szCs w:val="24"/>
              </w:rPr>
              <w:t xml:space="preserve">заявником подано ті самі документи, на підставі яких заявлене речове право, обтяження вже зареєстровано у </w:t>
            </w:r>
            <w:r w:rsidRPr="00595B4F">
              <w:rPr>
                <w:color w:val="000000"/>
                <w:sz w:val="24"/>
                <w:szCs w:val="24"/>
              </w:rPr>
              <w:lastRenderedPageBreak/>
              <w:t>Державному реєстрі прав;</w:t>
            </w:r>
          </w:p>
          <w:p w:rsidR="00F80500" w:rsidRPr="00595B4F" w:rsidRDefault="00F80500" w:rsidP="00BA1A72">
            <w:pPr>
              <w:tabs>
                <w:tab w:val="left" w:pos="1565"/>
              </w:tabs>
              <w:ind w:firstLine="217"/>
              <w:rPr>
                <w:sz w:val="24"/>
                <w:szCs w:val="24"/>
                <w:lang w:eastAsia="uk-UA"/>
              </w:rPr>
            </w:pPr>
            <w:r w:rsidRPr="00595B4F">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rPr>
                <w:sz w:val="24"/>
                <w:szCs w:val="24"/>
                <w:lang w:eastAsia="uk-UA"/>
              </w:rPr>
            </w:pPr>
            <w:r w:rsidRPr="00595B4F">
              <w:rPr>
                <w:sz w:val="24"/>
                <w:szCs w:val="24"/>
                <w:lang w:eastAsia="uk-UA"/>
              </w:rPr>
              <w:lastRenderedPageBreak/>
              <w:t>14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tabs>
                <w:tab w:val="left" w:pos="358"/>
                <w:tab w:val="left" w:pos="449"/>
              </w:tabs>
              <w:ind w:firstLine="217"/>
              <w:rPr>
                <w:sz w:val="24"/>
                <w:szCs w:val="24"/>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F80500" w:rsidRPr="00595B4F" w:rsidRDefault="00F80500" w:rsidP="00BA1A72">
            <w:pPr>
              <w:tabs>
                <w:tab w:val="left" w:pos="358"/>
                <w:tab w:val="left" w:pos="449"/>
              </w:tabs>
              <w:ind w:firstLine="217"/>
              <w:rPr>
                <w:sz w:val="24"/>
                <w:szCs w:val="24"/>
                <w:lang w:eastAsia="uk-UA"/>
              </w:rPr>
            </w:pPr>
            <w:r w:rsidRPr="00595B4F">
              <w:rPr>
                <w:sz w:val="24"/>
                <w:szCs w:val="24"/>
              </w:rPr>
              <w:t>рішення</w:t>
            </w:r>
            <w:r w:rsidRPr="00595B4F">
              <w:rPr>
                <w:sz w:val="24"/>
                <w:szCs w:val="24"/>
                <w:lang w:eastAsia="uk-UA"/>
              </w:rPr>
              <w:t xml:space="preserve"> про відмову у скасуванні запису Державного реєстру речових прав на нерухоме майно</w:t>
            </w:r>
          </w:p>
        </w:tc>
      </w:tr>
      <w:tr w:rsidR="00F80500"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80500" w:rsidRPr="00FE7D26" w:rsidRDefault="00F80500" w:rsidP="00BA1A72">
            <w:pPr>
              <w:rPr>
                <w:sz w:val="24"/>
                <w:szCs w:val="24"/>
                <w:lang w:eastAsia="uk-UA"/>
              </w:rPr>
            </w:pPr>
            <w:r w:rsidRPr="00595B4F">
              <w:rPr>
                <w:sz w:val="24"/>
                <w:szCs w:val="24"/>
                <w:lang w:eastAsia="uk-UA"/>
              </w:rPr>
              <w:t>15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F80500" w:rsidRPr="00595B4F" w:rsidRDefault="00F80500" w:rsidP="00BA1A72">
            <w:pPr>
              <w:pStyle w:val="a3"/>
              <w:tabs>
                <w:tab w:val="left" w:pos="358"/>
              </w:tabs>
              <w:ind w:left="0" w:firstLine="217"/>
              <w:rPr>
                <w:i/>
                <w:sz w:val="24"/>
                <w:szCs w:val="24"/>
              </w:rPr>
            </w:pPr>
            <w:r w:rsidRPr="00595B4F">
              <w:rPr>
                <w:i/>
                <w:sz w:val="24"/>
                <w:szCs w:val="24"/>
              </w:rPr>
              <w:t xml:space="preserve">Результати надання адміністративної послуги у сфері державної реєстрації оприлюднюються на </w:t>
            </w:r>
            <w:proofErr w:type="spellStart"/>
            <w:r w:rsidRPr="00595B4F">
              <w:rPr>
                <w:i/>
                <w:sz w:val="24"/>
                <w:szCs w:val="24"/>
              </w:rPr>
              <w:t>веб-порталі</w:t>
            </w:r>
            <w:proofErr w:type="spellEnd"/>
            <w:r w:rsidRPr="00595B4F">
              <w:rPr>
                <w:i/>
                <w:sz w:val="24"/>
                <w:szCs w:val="24"/>
              </w:rPr>
              <w:t xml:space="preserve"> Мін’юсту для доступу до неї заявника з метою її перегляду**.</w:t>
            </w:r>
          </w:p>
          <w:p w:rsidR="00F80500" w:rsidRPr="00595B4F" w:rsidRDefault="00F80500" w:rsidP="00BA1A72">
            <w:pPr>
              <w:pStyle w:val="a3"/>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F80500" w:rsidRPr="00595B4F" w:rsidRDefault="00F80500" w:rsidP="00BA1A72">
            <w:pPr>
              <w:pStyle w:val="a3"/>
              <w:tabs>
                <w:tab w:val="left" w:pos="358"/>
              </w:tabs>
              <w:ind w:left="0" w:firstLine="217"/>
              <w:rPr>
                <w:sz w:val="24"/>
                <w:szCs w:val="24"/>
                <w:lang w:eastAsia="uk-UA"/>
              </w:rPr>
            </w:pPr>
            <w:r w:rsidRPr="00595B4F">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F80500" w:rsidRPr="00595B4F" w:rsidRDefault="00F80500" w:rsidP="00F80500">
      <w:pPr>
        <w:rPr>
          <w:sz w:val="24"/>
          <w:szCs w:val="24"/>
        </w:rPr>
      </w:pPr>
    </w:p>
    <w:p w:rsidR="00F80500" w:rsidRPr="00595B4F" w:rsidRDefault="00F80500" w:rsidP="00F80500">
      <w:pPr>
        <w:rPr>
          <w:sz w:val="24"/>
          <w:szCs w:val="24"/>
        </w:rPr>
      </w:pPr>
      <w:r w:rsidRPr="00595B4F">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F80500" w:rsidRPr="00595B4F" w:rsidRDefault="00F80500" w:rsidP="00F80500">
      <w:pPr>
        <w:rPr>
          <w:sz w:val="24"/>
          <w:szCs w:val="24"/>
        </w:rPr>
      </w:pPr>
    </w:p>
    <w:tbl>
      <w:tblPr>
        <w:tblW w:w="9900" w:type="dxa"/>
        <w:tblInd w:w="-188" w:type="dxa"/>
        <w:tblLayout w:type="fixed"/>
        <w:tblCellMar>
          <w:left w:w="0" w:type="dxa"/>
          <w:right w:w="0" w:type="dxa"/>
        </w:tblCellMar>
        <w:tblLook w:val="0000"/>
      </w:tblPr>
      <w:tblGrid>
        <w:gridCol w:w="9743"/>
        <w:gridCol w:w="57"/>
        <w:gridCol w:w="40"/>
        <w:gridCol w:w="23"/>
        <w:gridCol w:w="37"/>
      </w:tblGrid>
      <w:tr w:rsidR="00F80500" w:rsidRPr="00595B4F" w:rsidTr="00BA1A72">
        <w:trPr>
          <w:trHeight w:val="763"/>
        </w:trPr>
        <w:tc>
          <w:tcPr>
            <w:tcW w:w="9743" w:type="dxa"/>
            <w:shd w:val="clear" w:color="auto" w:fill="FFFFFF"/>
          </w:tcPr>
          <w:p w:rsidR="00F80500" w:rsidRPr="00595B4F" w:rsidRDefault="00F80500" w:rsidP="00BA1A72">
            <w:pPr>
              <w:rPr>
                <w:sz w:val="24"/>
                <w:szCs w:val="24"/>
              </w:rPr>
            </w:pPr>
            <w:r w:rsidRPr="00595B4F">
              <w:rPr>
                <w:sz w:val="24"/>
                <w:szCs w:val="24"/>
              </w:rPr>
              <w:t>**</w:t>
            </w:r>
            <w:r w:rsidRPr="00595B4F">
              <w:rPr>
                <w:i/>
                <w:sz w:val="24"/>
                <w:szCs w:val="24"/>
              </w:rPr>
              <w:t>Після запровадження сервісу.</w:t>
            </w:r>
          </w:p>
        </w:tc>
        <w:tc>
          <w:tcPr>
            <w:tcW w:w="57" w:type="dxa"/>
            <w:shd w:val="clear" w:color="auto" w:fill="auto"/>
          </w:tcPr>
          <w:p w:rsidR="00F80500" w:rsidRPr="00595B4F" w:rsidRDefault="00F80500" w:rsidP="00BA1A72">
            <w:pPr>
              <w:snapToGrid w:val="0"/>
              <w:spacing w:after="200"/>
              <w:rPr>
                <w:sz w:val="24"/>
                <w:szCs w:val="24"/>
              </w:rPr>
            </w:pPr>
          </w:p>
        </w:tc>
        <w:tc>
          <w:tcPr>
            <w:tcW w:w="40" w:type="dxa"/>
            <w:shd w:val="clear" w:color="auto" w:fill="auto"/>
          </w:tcPr>
          <w:p w:rsidR="00F80500" w:rsidRPr="00595B4F" w:rsidRDefault="00F80500" w:rsidP="00BA1A72">
            <w:pPr>
              <w:snapToGrid w:val="0"/>
              <w:spacing w:after="200"/>
              <w:rPr>
                <w:sz w:val="24"/>
                <w:szCs w:val="24"/>
              </w:rPr>
            </w:pPr>
          </w:p>
        </w:tc>
        <w:tc>
          <w:tcPr>
            <w:tcW w:w="23" w:type="dxa"/>
            <w:shd w:val="clear" w:color="auto" w:fill="auto"/>
          </w:tcPr>
          <w:p w:rsidR="00F80500" w:rsidRPr="00595B4F" w:rsidRDefault="00F80500" w:rsidP="00BA1A72">
            <w:pPr>
              <w:snapToGrid w:val="0"/>
              <w:rPr>
                <w:sz w:val="24"/>
                <w:szCs w:val="24"/>
              </w:rPr>
            </w:pPr>
          </w:p>
        </w:tc>
        <w:tc>
          <w:tcPr>
            <w:tcW w:w="37" w:type="dxa"/>
            <w:shd w:val="clear" w:color="auto" w:fill="auto"/>
          </w:tcPr>
          <w:p w:rsidR="00F80500" w:rsidRPr="00595B4F" w:rsidRDefault="00F80500" w:rsidP="00BA1A72">
            <w:pPr>
              <w:snapToGrid w:val="0"/>
              <w:rPr>
                <w:sz w:val="24"/>
                <w:szCs w:val="24"/>
              </w:rPr>
            </w:pPr>
          </w:p>
        </w:tc>
      </w:tr>
    </w:tbl>
    <w:p w:rsidR="00DE672A" w:rsidRPr="00F80500" w:rsidRDefault="00DE672A" w:rsidP="00F80500">
      <w:pPr>
        <w:rPr>
          <w:szCs w:val="27"/>
        </w:rPr>
      </w:pPr>
    </w:p>
    <w:sectPr w:rsidR="00DE672A" w:rsidRPr="00F80500" w:rsidSect="0087144D">
      <w:headerReference w:type="default" r:id="rId9"/>
      <w:pgSz w:w="11906" w:h="16838"/>
      <w:pgMar w:top="709" w:right="707" w:bottom="426"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66" w:rsidRDefault="00861D66">
      <w:r>
        <w:separator/>
      </w:r>
    </w:p>
  </w:endnote>
  <w:endnote w:type="continuationSeparator" w:id="1">
    <w:p w:rsidR="00861D66" w:rsidRDefault="0086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66" w:rsidRDefault="00861D66">
      <w:r>
        <w:separator/>
      </w:r>
    </w:p>
  </w:footnote>
  <w:footnote w:type="continuationSeparator" w:id="1">
    <w:p w:rsidR="00861D66" w:rsidRDefault="00861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3845F4">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F80500" w:rsidRPr="00F80500">
      <w:rPr>
        <w:noProof/>
        <w:sz w:val="24"/>
        <w:szCs w:val="24"/>
        <w:lang w:val="ru-RU"/>
      </w:rPr>
      <w:t>3</w:t>
    </w:r>
    <w:r w:rsidRPr="003945B6">
      <w:rPr>
        <w:sz w:val="24"/>
        <w:szCs w:val="24"/>
      </w:rPr>
      <w:fldChar w:fldCharType="end"/>
    </w:r>
  </w:p>
  <w:p w:rsidR="000E1FD6" w:rsidRDefault="00F805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16707A93"/>
    <w:multiLevelType w:val="hybridMultilevel"/>
    <w:tmpl w:val="F9D6442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433923"/>
    <w:multiLevelType w:val="hybridMultilevel"/>
    <w:tmpl w:val="5B8C80B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8F4D3E"/>
    <w:multiLevelType w:val="hybridMultilevel"/>
    <w:tmpl w:val="658C1A0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42A7F"/>
    <w:rsid w:val="00044210"/>
    <w:rsid w:val="00052ED8"/>
    <w:rsid w:val="000605BE"/>
    <w:rsid w:val="00084C29"/>
    <w:rsid w:val="00085371"/>
    <w:rsid w:val="000B786B"/>
    <w:rsid w:val="000C20B5"/>
    <w:rsid w:val="000C4BEF"/>
    <w:rsid w:val="000C77D7"/>
    <w:rsid w:val="000D0241"/>
    <w:rsid w:val="000F2113"/>
    <w:rsid w:val="001041DF"/>
    <w:rsid w:val="00115B24"/>
    <w:rsid w:val="00142A11"/>
    <w:rsid w:val="00146C85"/>
    <w:rsid w:val="001611BA"/>
    <w:rsid w:val="001651D9"/>
    <w:rsid w:val="00166221"/>
    <w:rsid w:val="001B34C5"/>
    <w:rsid w:val="001D5657"/>
    <w:rsid w:val="001E0E70"/>
    <w:rsid w:val="001E3AAA"/>
    <w:rsid w:val="00200BCD"/>
    <w:rsid w:val="00216288"/>
    <w:rsid w:val="00234BF6"/>
    <w:rsid w:val="0023746A"/>
    <w:rsid w:val="00264EFA"/>
    <w:rsid w:val="002701F6"/>
    <w:rsid w:val="0029223E"/>
    <w:rsid w:val="002A134F"/>
    <w:rsid w:val="002C5FE2"/>
    <w:rsid w:val="002D7E6A"/>
    <w:rsid w:val="0030567F"/>
    <w:rsid w:val="00313492"/>
    <w:rsid w:val="0033622B"/>
    <w:rsid w:val="00356195"/>
    <w:rsid w:val="003575C3"/>
    <w:rsid w:val="003845F4"/>
    <w:rsid w:val="003945B6"/>
    <w:rsid w:val="00395BBB"/>
    <w:rsid w:val="003C54E0"/>
    <w:rsid w:val="003D56E3"/>
    <w:rsid w:val="00497481"/>
    <w:rsid w:val="004B708A"/>
    <w:rsid w:val="004C4CF3"/>
    <w:rsid w:val="004E0545"/>
    <w:rsid w:val="004F324E"/>
    <w:rsid w:val="0052271C"/>
    <w:rsid w:val="00523281"/>
    <w:rsid w:val="00534806"/>
    <w:rsid w:val="005403D3"/>
    <w:rsid w:val="00552A62"/>
    <w:rsid w:val="00555585"/>
    <w:rsid w:val="00571FEE"/>
    <w:rsid w:val="0057683D"/>
    <w:rsid w:val="0058219B"/>
    <w:rsid w:val="00586539"/>
    <w:rsid w:val="00592154"/>
    <w:rsid w:val="0059459D"/>
    <w:rsid w:val="005959BD"/>
    <w:rsid w:val="005A126F"/>
    <w:rsid w:val="005B1B2C"/>
    <w:rsid w:val="005D3E29"/>
    <w:rsid w:val="005E52B8"/>
    <w:rsid w:val="0061161A"/>
    <w:rsid w:val="00622936"/>
    <w:rsid w:val="00671BB5"/>
    <w:rsid w:val="00687468"/>
    <w:rsid w:val="00690FCC"/>
    <w:rsid w:val="006A6730"/>
    <w:rsid w:val="006D7D9B"/>
    <w:rsid w:val="0071611A"/>
    <w:rsid w:val="00722219"/>
    <w:rsid w:val="00722A3F"/>
    <w:rsid w:val="00727B9A"/>
    <w:rsid w:val="00747BDD"/>
    <w:rsid w:val="00750F9B"/>
    <w:rsid w:val="00764200"/>
    <w:rsid w:val="00782346"/>
    <w:rsid w:val="00783197"/>
    <w:rsid w:val="007837EB"/>
    <w:rsid w:val="00791CD5"/>
    <w:rsid w:val="007A660F"/>
    <w:rsid w:val="007A7278"/>
    <w:rsid w:val="007B4A2C"/>
    <w:rsid w:val="007B5220"/>
    <w:rsid w:val="007B7B83"/>
    <w:rsid w:val="007C172C"/>
    <w:rsid w:val="007C259A"/>
    <w:rsid w:val="007D3621"/>
    <w:rsid w:val="007E4A66"/>
    <w:rsid w:val="007E4E51"/>
    <w:rsid w:val="007F625B"/>
    <w:rsid w:val="00804F08"/>
    <w:rsid w:val="00805BC3"/>
    <w:rsid w:val="008123DA"/>
    <w:rsid w:val="00824963"/>
    <w:rsid w:val="008270EE"/>
    <w:rsid w:val="00827847"/>
    <w:rsid w:val="0083712B"/>
    <w:rsid w:val="00842E04"/>
    <w:rsid w:val="00856E0C"/>
    <w:rsid w:val="00857E81"/>
    <w:rsid w:val="00861A85"/>
    <w:rsid w:val="00861D66"/>
    <w:rsid w:val="00864783"/>
    <w:rsid w:val="00870CA5"/>
    <w:rsid w:val="0087144D"/>
    <w:rsid w:val="0088562C"/>
    <w:rsid w:val="008B1659"/>
    <w:rsid w:val="008C0A98"/>
    <w:rsid w:val="008C4F62"/>
    <w:rsid w:val="008E50ED"/>
    <w:rsid w:val="00900A42"/>
    <w:rsid w:val="00911F85"/>
    <w:rsid w:val="00914F67"/>
    <w:rsid w:val="00927D54"/>
    <w:rsid w:val="00935EE0"/>
    <w:rsid w:val="00943229"/>
    <w:rsid w:val="00945D2F"/>
    <w:rsid w:val="009620EA"/>
    <w:rsid w:val="00970FCD"/>
    <w:rsid w:val="00975C2C"/>
    <w:rsid w:val="009B5920"/>
    <w:rsid w:val="009C7C5E"/>
    <w:rsid w:val="009D51B6"/>
    <w:rsid w:val="00A07DA4"/>
    <w:rsid w:val="00A4484A"/>
    <w:rsid w:val="00A7050D"/>
    <w:rsid w:val="00A743B5"/>
    <w:rsid w:val="00A7451F"/>
    <w:rsid w:val="00A82B8D"/>
    <w:rsid w:val="00A82E40"/>
    <w:rsid w:val="00A9007E"/>
    <w:rsid w:val="00A93784"/>
    <w:rsid w:val="00AA25EE"/>
    <w:rsid w:val="00AA7677"/>
    <w:rsid w:val="00AE65A0"/>
    <w:rsid w:val="00B00CF3"/>
    <w:rsid w:val="00B22FA0"/>
    <w:rsid w:val="00B414E5"/>
    <w:rsid w:val="00B51941"/>
    <w:rsid w:val="00B579ED"/>
    <w:rsid w:val="00B66F74"/>
    <w:rsid w:val="00B87499"/>
    <w:rsid w:val="00BA0008"/>
    <w:rsid w:val="00BB01F9"/>
    <w:rsid w:val="00BB06FD"/>
    <w:rsid w:val="00BC1CBF"/>
    <w:rsid w:val="00BE13CA"/>
    <w:rsid w:val="00BE5E7F"/>
    <w:rsid w:val="00BF7369"/>
    <w:rsid w:val="00C15810"/>
    <w:rsid w:val="00C47C56"/>
    <w:rsid w:val="00C638C2"/>
    <w:rsid w:val="00C72FC2"/>
    <w:rsid w:val="00C74B67"/>
    <w:rsid w:val="00C94690"/>
    <w:rsid w:val="00CA56F9"/>
    <w:rsid w:val="00CB63F4"/>
    <w:rsid w:val="00CC122F"/>
    <w:rsid w:val="00CC6C49"/>
    <w:rsid w:val="00CD0DD2"/>
    <w:rsid w:val="00CE14D9"/>
    <w:rsid w:val="00D03D12"/>
    <w:rsid w:val="00D122AF"/>
    <w:rsid w:val="00D1386D"/>
    <w:rsid w:val="00D27758"/>
    <w:rsid w:val="00D36D97"/>
    <w:rsid w:val="00D607C9"/>
    <w:rsid w:val="00D7695F"/>
    <w:rsid w:val="00D9070E"/>
    <w:rsid w:val="00D92F17"/>
    <w:rsid w:val="00DA1733"/>
    <w:rsid w:val="00DB03D7"/>
    <w:rsid w:val="00DC2A9F"/>
    <w:rsid w:val="00DC52FE"/>
    <w:rsid w:val="00DD003D"/>
    <w:rsid w:val="00DD36A3"/>
    <w:rsid w:val="00DE28B3"/>
    <w:rsid w:val="00DE672A"/>
    <w:rsid w:val="00DE6CCD"/>
    <w:rsid w:val="00E016F5"/>
    <w:rsid w:val="00E066BD"/>
    <w:rsid w:val="00E20177"/>
    <w:rsid w:val="00E3515D"/>
    <w:rsid w:val="00E43F0B"/>
    <w:rsid w:val="00E445C3"/>
    <w:rsid w:val="00E51A6F"/>
    <w:rsid w:val="00E55BA5"/>
    <w:rsid w:val="00E8689A"/>
    <w:rsid w:val="00E9323A"/>
    <w:rsid w:val="00EA12E5"/>
    <w:rsid w:val="00EA74D7"/>
    <w:rsid w:val="00EC550D"/>
    <w:rsid w:val="00EE1889"/>
    <w:rsid w:val="00EE6F32"/>
    <w:rsid w:val="00EF1618"/>
    <w:rsid w:val="00F03830"/>
    <w:rsid w:val="00F03964"/>
    <w:rsid w:val="00F03E60"/>
    <w:rsid w:val="00F11278"/>
    <w:rsid w:val="00F52ADF"/>
    <w:rsid w:val="00F5481E"/>
    <w:rsid w:val="00F67FC4"/>
    <w:rsid w:val="00F80500"/>
    <w:rsid w:val="00F868C1"/>
    <w:rsid w:val="00F94EC9"/>
    <w:rsid w:val="00FA288F"/>
    <w:rsid w:val="00FA58CA"/>
    <w:rsid w:val="00FB35B8"/>
    <w:rsid w:val="00FB3DD9"/>
    <w:rsid w:val="00FD318A"/>
    <w:rsid w:val="00FE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571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875E-16EC-4301-9F32-532D7C52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4473</Words>
  <Characters>2551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23</cp:revision>
  <cp:lastPrinted>2018-05-29T07:03:00Z</cp:lastPrinted>
  <dcterms:created xsi:type="dcterms:W3CDTF">2018-10-10T05:32:00Z</dcterms:created>
  <dcterms:modified xsi:type="dcterms:W3CDTF">2020-03-10T13:00:00Z</dcterms:modified>
</cp:coreProperties>
</file>