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6" w:rsidRPr="00C73801" w:rsidRDefault="00C048D6" w:rsidP="00C048D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38 до рішення </w:t>
      </w:r>
    </w:p>
    <w:p w:rsidR="00C048D6" w:rsidRPr="00BF6D6B" w:rsidRDefault="00C048D6" w:rsidP="00C048D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C048D6" w:rsidRDefault="00C048D6" w:rsidP="00C048D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048D6" w:rsidRPr="00C73801" w:rsidRDefault="00C048D6" w:rsidP="00C048D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048D6" w:rsidRPr="00C73801" w:rsidRDefault="00C048D6" w:rsidP="00C048D6">
      <w:pPr>
        <w:pStyle w:val="a3"/>
        <w:spacing w:before="60" w:beforeAutospacing="0" w:after="60" w:afterAutospacing="0"/>
        <w:ind w:firstLine="142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№</w:t>
      </w:r>
      <w:r w:rsidRPr="00C73801">
        <w:rPr>
          <w:b/>
          <w:bCs/>
          <w:color w:val="000000"/>
          <w:spacing w:val="-2"/>
          <w:lang w:val="uk-UA"/>
        </w:rPr>
        <w:t>02-16</w:t>
      </w:r>
    </w:p>
    <w:p w:rsidR="00C048D6" w:rsidRPr="00C73801" w:rsidRDefault="00C048D6" w:rsidP="00C048D6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318"/>
        <w:gridCol w:w="2835"/>
        <w:gridCol w:w="992"/>
        <w:gridCol w:w="1134"/>
      </w:tblGrid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048D6" w:rsidRPr="00C73801" w:rsidRDefault="00C048D6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ind w:firstLine="72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–го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048D6" w:rsidRPr="00C73801" w:rsidTr="0063750D">
        <w:trPr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048D6" w:rsidRPr="00C73801" w:rsidTr="0063750D">
        <w:trPr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048D6" w:rsidRPr="00C73801" w:rsidTr="0063750D">
        <w:trPr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3-9-го дня</w:t>
            </w:r>
          </w:p>
        </w:tc>
      </w:tr>
      <w:tr w:rsidR="00C048D6" w:rsidRPr="00C73801" w:rsidTr="0063750D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048D6" w:rsidRPr="00C73801" w:rsidTr="0063750D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048D6" w:rsidRPr="00C73801" w:rsidTr="0063750D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C048D6" w:rsidRPr="00C73801" w:rsidRDefault="00C048D6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12-го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C048D6" w:rsidRPr="00C73801" w:rsidRDefault="00C048D6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змін до дозволу на розміщення зовнішньої реклами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C048D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C048D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ішення виконкому міської ради та дозволу на розміщення зовнішньої реклами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</w:t>
            </w:r>
            <w:r w:rsidRPr="00C73801">
              <w:rPr>
                <w:sz w:val="24"/>
                <w:szCs w:val="24"/>
                <w:lang w:val="uk-UA"/>
              </w:rPr>
              <w:t>ротя</w:t>
            </w:r>
            <w:r>
              <w:rPr>
                <w:sz w:val="24"/>
                <w:szCs w:val="24"/>
                <w:lang w:val="uk-UA"/>
              </w:rPr>
              <w:t>зі</w:t>
            </w:r>
          </w:p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C048D6" w:rsidRPr="00C73801" w:rsidTr="0063750D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C048D6" w:rsidRPr="00C73801" w:rsidTr="0063750D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D6" w:rsidRPr="00C73801" w:rsidRDefault="00C048D6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048D6" w:rsidRDefault="00C048D6" w:rsidP="00C048D6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Pr="00C048D6" w:rsidRDefault="00250E3A">
      <w:pPr>
        <w:rPr>
          <w:lang w:val="uk-UA"/>
        </w:rPr>
      </w:pPr>
    </w:p>
    <w:sectPr w:rsidR="00250E3A" w:rsidRPr="00C048D6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B3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C048D6"/>
    <w:rsid w:val="00250E3A"/>
    <w:rsid w:val="00C0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048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048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C0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3398</Words>
  <Characters>1938</Characters>
  <Application>Microsoft Office Word</Application>
  <DocSecurity>0</DocSecurity>
  <Lines>16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2020-01-13T14:27:00Z</dcterms:created>
  <dcterms:modified xsi:type="dcterms:W3CDTF">2020-01-13T14:28:00Z</dcterms:modified>
</cp:coreProperties>
</file>