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  <w:sectPr>
          <w:headerReference r:id="rId6" w:type="default"/>
          <w:footerReference r:id="rId7" w:type="default"/>
          <w:pgSz w:h="16834" w:w="11909"/>
          <w:pgMar w:bottom="1985" w:top="274" w:left="1440" w:right="1275" w:header="284" w:footer="518"/>
          <w:pgNumType w:start="1"/>
        </w:sect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Звіт щодо проведення семінару 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«Оцінка розвитку та удосконалення Громадського бюджету»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м. Сєвєродонецьк, 01.08.2018р.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Опис контексту: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перший рік реалізації громадського бюджету у місті Сєвєродонецьк було подано                      71 проект, з яких 58 було допущено до голосування.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Проголосувало за найкращі ідеї мешканців – 8166 осіб (з них 146 ВПО). Це більше 8% від усіх мешканців Сєвєродонецька.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Переможцями стали 5 великих  та 15 малих проектів.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http://sed-rada.gov.ua/gromadskiy-byudzhet/prezentaciya-z-viznachennya-peremozhciv-proektiv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Семінар із оцінки ГБ: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Загальна кількість учасників та учасниць – 27 осіб: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 представників міськвиконкому м.  Сєвєродонецьк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представника Борівської сільської ради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депутати Сєвєродонецької міської ради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 представників громадських організацій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автори проекту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журналіст</w:t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Результат: 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Під час практичної роботи в групах учасники об’єдналися  на 4 групи та опрацювали таке питання – Які дії необхідно зробити, щоб ГБ Сєвєродонецька став краще?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94.0" w:type="dxa"/>
        <w:jc w:val="left"/>
        <w:tblInd w:w="115.0" w:type="pct"/>
        <w:tblBorders>
          <w:top w:color="78c0d4" w:space="0" w:sz="8" w:val="single"/>
          <w:left w:color="78c0d4" w:space="0" w:sz="8" w:val="single"/>
          <w:bottom w:color="78c0d4" w:space="0" w:sz="8" w:val="single"/>
          <w:right w:color="78c0d4" w:space="0" w:sz="8" w:val="single"/>
          <w:insideH w:color="78c0d4" w:space="0" w:sz="8" w:val="single"/>
          <w:insideV w:color="78c0d4" w:space="0" w:sz="8" w:val="single"/>
        </w:tblBorders>
        <w:tblLayout w:type="fixed"/>
        <w:tblLook w:val="04A0"/>
      </w:tblPr>
      <w:tblGrid>
        <w:gridCol w:w="1833"/>
        <w:gridCol w:w="1701"/>
        <w:gridCol w:w="2126"/>
        <w:gridCol w:w="1843"/>
        <w:gridCol w:w="1691"/>
        <w:tblGridChange w:id="0">
          <w:tblGrid>
            <w:gridCol w:w="1833"/>
            <w:gridCol w:w="1701"/>
            <w:gridCol w:w="2126"/>
            <w:gridCol w:w="1843"/>
            <w:gridCol w:w="1691"/>
          </w:tblGrid>
        </w:tblGridChange>
      </w:tblGrid>
      <w:tr>
        <w:tc>
          <w:tcPr/>
          <w:p w:rsidR="00000000" w:rsidDel="00000000" w:rsidP="00000000" w:rsidRDefault="00000000" w:rsidRPr="00000000" w14:paraId="000000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contextualSpacing w:val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Голосування</w:t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contextualSpacing w:val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Волонтери</w:t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contextualSpacing w:val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Консультації</w:t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contextualSpacing w:val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Зміни до положення</w:t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contextualSpacing w:val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Мотивація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збільшити кількість пунктів для голосування</w:t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залучення волонтерів з числа школярів та студентів</w:t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методична допомога авторам в складанні кошторисів</w:t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створення робочої групи з внесенню змін до положення</w:t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розробка системи мотивації для учасників ГБ</w:t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спрощення онлайн голосування</w:t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створення бази волонтерів для кожного етапу ГБ</w:t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більша кількість спеціалістів-консультантів на етапі складання проектів</w:t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публічні обговорення змін до положення</w:t>
            </w:r>
          </w:p>
        </w:tc>
        <w:tc>
          <w:tcPr/>
          <w:p w:rsidR="00000000" w:rsidDel="00000000" w:rsidP="00000000" w:rsidRDefault="00000000" w:rsidRPr="00000000" w14:paraId="0000002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фінансова мотивація працівників пунктів супроводу за додаткове навантаження</w:t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консультаційні тренінги з написання проектів</w:t>
            </w:r>
          </w:p>
        </w:tc>
        <w:tc>
          <w:tcPr/>
          <w:p w:rsidR="00000000" w:rsidDel="00000000" w:rsidP="00000000" w:rsidRDefault="00000000" w:rsidRPr="00000000" w14:paraId="0000002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 за офлайн голосуванням</w:t>
            </w:r>
          </w:p>
        </w:tc>
        <w:tc>
          <w:tcPr/>
          <w:p w:rsidR="00000000" w:rsidDel="00000000" w:rsidP="00000000" w:rsidRDefault="00000000" w:rsidRPr="00000000" w14:paraId="0000002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hanging="72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hanging="72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створення консулат. пунктів на базі ГО</w:t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перегляд склада коорд ради з урахуванням мотиваційних листів </w:t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hanging="72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hanging="72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hanging="72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обмеження кількості проектів на локації</w:t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hanging="72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hanging="72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hanging="72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обмеження шкіл в ГБ</w:t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hanging="72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hanging="72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hanging="72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додаткова групування проектів</w:t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hanging="72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ind w:left="72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/>
      <w:pgMar w:bottom="1985" w:top="274" w:left="1440" w:right="1275" w:header="284" w:footer="51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spacing w:line="240" w:lineRule="auto"/>
      <w:ind w:left="-567" w:right="-729"/>
      <w:contextualSpacing w:val="0"/>
      <w:jc w:val="both"/>
      <w:rPr>
        <w:i w:val="1"/>
        <w:color w:val="ff0000"/>
        <w:sz w:val="20"/>
        <w:szCs w:val="20"/>
        <w:highlight w:val="white"/>
      </w:rPr>
    </w:pPr>
    <w:r w:rsidDel="00000000" w:rsidR="00000000" w:rsidRPr="00000000">
      <w:rPr>
        <w:i w:val="1"/>
        <w:sz w:val="20"/>
        <w:szCs w:val="20"/>
        <w:highlight w:val="white"/>
        <w:rtl w:val="0"/>
      </w:rPr>
      <w:t xml:space="preserve">Проект «Публічні бюджети від А до Я: Інформування, активізація та залучення громадянського суспільства» реалізується Фондом Східна Європа та Фундацією польсько-української співпраці ПАУСІ за фінансової підтримки Європейського Союзу та Проекту міжнародної технічної допомоги «Партнерство для розвитку міст» (Проект ПРОМІС), який впроваджується Федерацією канадських муніципалітетів та фінансується Міністерством міжнародних справ Канади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contextualSpacing w:val="0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2"/>
      <w:tblW w:w="9619.0" w:type="dxa"/>
      <w:jc w:val="center"/>
      <w:tblLayout w:type="fixed"/>
      <w:tblLook w:val="0400"/>
    </w:tblPr>
    <w:tblGrid>
      <w:gridCol w:w="9619"/>
      <w:tblGridChange w:id="0">
        <w:tblGrid>
          <w:gridCol w:w="9619"/>
        </w:tblGrid>
      </w:tblGridChange>
    </w:tblGrid>
    <w:tr>
      <w:tc>
        <w:tcPr>
          <w:shd w:fill="ffffff" w:val="clear"/>
        </w:tcPr>
        <w:p w:rsidR="00000000" w:rsidDel="00000000" w:rsidP="00000000" w:rsidRDefault="00000000" w:rsidRPr="00000000" w14:paraId="00000042">
          <w:pPr>
            <w:ind w:right="-165"/>
            <w:contextualSpacing w:val="0"/>
            <w:jc w:val="center"/>
            <w:rPr>
              <w:rFonts w:ascii="Verdana" w:cs="Verdana" w:eastAsia="Verdana" w:hAnsi="Verdana"/>
              <w:b w:val="1"/>
              <w:sz w:val="28"/>
              <w:szCs w:val="28"/>
              <w:highlight w:val="white"/>
            </w:rPr>
          </w:pPr>
          <w:r w:rsidDel="00000000" w:rsidR="00000000" w:rsidRPr="00000000">
            <w:rPr/>
            <w:drawing>
              <wp:inline distB="0" distT="0" distL="0" distR="0">
                <wp:extent cx="4921529" cy="130875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21529" cy="13087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3">
    <w:pPr>
      <w:spacing w:line="240" w:lineRule="auto"/>
      <w:contextualSpacing w:val="0"/>
      <w:rPr>
        <w:i w:val="1"/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-U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pBdr>
        <w:bottom w:color="4f81bd" w:space="0" w:sz="8" w:val="single"/>
      </w:pBdr>
      <w:spacing w:after="300" w:line="240" w:lineRule="auto"/>
      <w:contextualSpacing w:val="1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pPr>
      <w:widowControl w:val="0"/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2eaf0" w:val="clear"/>
    </w:tcPr>
    <w:tblStylePr w:type="band1Horz">
      <w:tcPr>
        <w:shd w:fill="a5d5e2" w:val="clear"/>
      </w:tcPr>
    </w:tblStylePr>
    <w:tblStylePr w:type="band1Vert">
      <w:tcPr>
        <w:shd w:fill="a5d5e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78c0d4" w:space="0" w:sz="18" w:val="single"/>
        </w:tcBorders>
      </w:tcPr>
    </w:tblStylePr>
  </w:style>
  <w:style w:type="table" w:styleId="Table2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://sed-rada.gov.ua/gromadskiy-byudzhet/prezentaciya-z-viznachennya-peremozhciv-proektiv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