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99" w:rsidRPr="00A61399" w:rsidRDefault="00A61399" w:rsidP="00A61399">
      <w:pPr>
        <w:shd w:val="clear" w:color="auto" w:fill="FFFFFF"/>
        <w:spacing w:after="60"/>
        <w:jc w:val="center"/>
        <w:outlineLvl w:val="1"/>
        <w:rPr>
          <w:rFonts w:ascii="Tahoma" w:eastAsia="Times New Roman" w:hAnsi="Tahoma" w:cs="Tahoma"/>
          <w:b/>
          <w:bCs/>
          <w:color w:val="4A4A4A"/>
          <w:sz w:val="31"/>
          <w:szCs w:val="31"/>
          <w:lang w:eastAsia="ru-RU"/>
        </w:rPr>
      </w:pPr>
      <w:r w:rsidRPr="00A61399">
        <w:rPr>
          <w:rFonts w:ascii="Tahoma" w:eastAsia="Times New Roman" w:hAnsi="Tahoma" w:cs="Tahoma"/>
          <w:b/>
          <w:bCs/>
          <w:color w:val="4A4A4A"/>
          <w:sz w:val="31"/>
          <w:szCs w:val="31"/>
          <w:lang w:eastAsia="ru-RU"/>
        </w:rPr>
        <w:t>СЄВЄРОДОНЕЦЬКА МІСЬКА РАДА</w:t>
      </w:r>
    </w:p>
    <w:p w:rsidR="00A61399" w:rsidRPr="00A61399" w:rsidRDefault="00A61399" w:rsidP="00A61399">
      <w:pPr>
        <w:shd w:val="clear" w:color="auto" w:fill="FFFFFF"/>
        <w:spacing w:after="60"/>
        <w:jc w:val="center"/>
        <w:outlineLvl w:val="1"/>
        <w:rPr>
          <w:rFonts w:ascii="Tahoma" w:eastAsia="Times New Roman" w:hAnsi="Tahoma" w:cs="Tahoma"/>
          <w:b/>
          <w:bCs/>
          <w:color w:val="4A4A4A"/>
          <w:sz w:val="31"/>
          <w:szCs w:val="31"/>
          <w:lang w:eastAsia="ru-RU"/>
        </w:rPr>
      </w:pPr>
      <w:r w:rsidRPr="00A61399">
        <w:rPr>
          <w:rFonts w:ascii="Tahoma" w:eastAsia="Times New Roman" w:hAnsi="Tahoma" w:cs="Tahoma"/>
          <w:b/>
          <w:bCs/>
          <w:color w:val="4A4A4A"/>
          <w:sz w:val="31"/>
          <w:szCs w:val="31"/>
          <w:lang w:eastAsia="ru-RU"/>
        </w:rPr>
        <w:t>ВИКОНАВЧИЙ КОМІТЕТ</w:t>
      </w:r>
    </w:p>
    <w:p w:rsidR="00A61399" w:rsidRPr="00A61399" w:rsidRDefault="00A61399" w:rsidP="00A61399">
      <w:pPr>
        <w:shd w:val="clear" w:color="auto" w:fill="FFFFFF"/>
        <w:spacing w:after="60"/>
        <w:jc w:val="center"/>
        <w:outlineLvl w:val="1"/>
        <w:rPr>
          <w:rFonts w:ascii="Tahoma" w:eastAsia="Times New Roman" w:hAnsi="Tahoma" w:cs="Tahoma"/>
          <w:b/>
          <w:bCs/>
          <w:color w:val="4A4A4A"/>
          <w:sz w:val="31"/>
          <w:szCs w:val="31"/>
          <w:lang w:eastAsia="ru-RU"/>
        </w:rPr>
      </w:pPr>
      <w:r w:rsidRPr="00A61399">
        <w:rPr>
          <w:rFonts w:ascii="Tahoma" w:eastAsia="Times New Roman" w:hAnsi="Tahoma" w:cs="Tahoma"/>
          <w:b/>
          <w:bCs/>
          <w:color w:val="4A4A4A"/>
          <w:sz w:val="31"/>
          <w:szCs w:val="31"/>
          <w:lang w:eastAsia="ru-RU"/>
        </w:rPr>
        <w:t>РІШЕННЯ  №947</w:t>
      </w:r>
    </w:p>
    <w:p w:rsidR="00A61399" w:rsidRPr="00A61399" w:rsidRDefault="00A61399" w:rsidP="00A61399">
      <w:pPr>
        <w:shd w:val="clear" w:color="auto" w:fill="FFFFFF"/>
        <w:spacing w:after="180" w:line="360" w:lineRule="atLeast"/>
        <w:jc w:val="both"/>
        <w:rPr>
          <w:rFonts w:ascii="Tahoma" w:eastAsia="Times New Roman" w:hAnsi="Tahoma" w:cs="Tahoma"/>
          <w:color w:val="4A4A4A"/>
          <w:sz w:val="11"/>
          <w:szCs w:val="11"/>
          <w:lang w:eastAsia="ru-RU"/>
        </w:rPr>
      </w:pPr>
      <w:r w:rsidRPr="00A61399">
        <w:rPr>
          <w:rFonts w:ascii="Tahoma" w:eastAsia="Times New Roman" w:hAnsi="Tahoma" w:cs="Tahoma"/>
          <w:color w:val="4A4A4A"/>
          <w:sz w:val="11"/>
          <w:szCs w:val="11"/>
          <w:lang w:eastAsia="ru-RU"/>
        </w:rPr>
        <w:t>  „26” листопада  2013 року</w:t>
      </w:r>
    </w:p>
    <w:p w:rsidR="00A61399" w:rsidRPr="00A61399" w:rsidRDefault="00A61399" w:rsidP="00A61399">
      <w:pPr>
        <w:shd w:val="clear" w:color="auto" w:fill="FFFFFF"/>
        <w:spacing w:after="180" w:line="360" w:lineRule="atLeast"/>
        <w:rPr>
          <w:rFonts w:ascii="Tahoma" w:eastAsia="Times New Roman" w:hAnsi="Tahoma" w:cs="Tahoma"/>
          <w:color w:val="4A4A4A"/>
          <w:sz w:val="11"/>
          <w:szCs w:val="11"/>
          <w:lang w:eastAsia="ru-RU"/>
        </w:rPr>
      </w:pPr>
      <w:r w:rsidRPr="00A61399">
        <w:rPr>
          <w:rFonts w:ascii="Tahoma" w:eastAsia="Times New Roman" w:hAnsi="Tahoma" w:cs="Tahoma"/>
          <w:color w:val="4A4A4A"/>
          <w:sz w:val="11"/>
          <w:szCs w:val="11"/>
          <w:lang w:eastAsia="ru-RU"/>
        </w:rPr>
        <w:t>м.Сєвєродонецьк</w:t>
      </w:r>
    </w:p>
    <w:p w:rsidR="00A61399" w:rsidRPr="00A61399" w:rsidRDefault="00A61399" w:rsidP="00A61399">
      <w:pPr>
        <w:shd w:val="clear" w:color="auto" w:fill="FFFFFF"/>
        <w:spacing w:after="60"/>
        <w:outlineLvl w:val="1"/>
        <w:rPr>
          <w:rFonts w:ascii="Tahoma" w:eastAsia="Times New Roman" w:hAnsi="Tahoma" w:cs="Tahoma"/>
          <w:b/>
          <w:bCs/>
          <w:color w:val="4A4A4A"/>
          <w:sz w:val="31"/>
          <w:szCs w:val="31"/>
          <w:lang w:eastAsia="ru-RU"/>
        </w:rPr>
      </w:pPr>
      <w:r w:rsidRPr="00A61399">
        <w:rPr>
          <w:rFonts w:ascii="Tahoma" w:eastAsia="Times New Roman" w:hAnsi="Tahoma" w:cs="Tahoma"/>
          <w:b/>
          <w:bCs/>
          <w:color w:val="4A4A4A"/>
          <w:sz w:val="31"/>
          <w:szCs w:val="31"/>
          <w:lang w:eastAsia="ru-RU"/>
        </w:rPr>
        <w:t>Про результати аналізу  розміщення тимчасових споруд на території міста Сєвєродонецька</w:t>
      </w:r>
    </w:p>
    <w:p w:rsidR="00A61399" w:rsidRPr="00A61399" w:rsidRDefault="00A61399" w:rsidP="00A61399">
      <w:pPr>
        <w:shd w:val="clear" w:color="auto" w:fill="FFFFFF"/>
        <w:spacing w:after="180" w:line="360" w:lineRule="atLeast"/>
        <w:rPr>
          <w:rFonts w:ascii="Tahoma" w:eastAsia="Times New Roman" w:hAnsi="Tahoma" w:cs="Tahoma"/>
          <w:color w:val="4A4A4A"/>
          <w:sz w:val="11"/>
          <w:szCs w:val="11"/>
          <w:lang w:eastAsia="ru-RU"/>
        </w:rPr>
      </w:pPr>
      <w:r w:rsidRPr="00A61399">
        <w:rPr>
          <w:rFonts w:ascii="Tahoma" w:eastAsia="Times New Roman" w:hAnsi="Tahoma" w:cs="Tahoma"/>
          <w:color w:val="4A4A4A"/>
          <w:sz w:val="11"/>
          <w:szCs w:val="11"/>
          <w:lang w:eastAsia="ru-RU"/>
        </w:rPr>
        <w:t> </w:t>
      </w:r>
    </w:p>
    <w:p w:rsidR="00A61399" w:rsidRPr="00A61399" w:rsidRDefault="00A61399" w:rsidP="00A61399">
      <w:pPr>
        <w:shd w:val="clear" w:color="auto" w:fill="FFFFFF"/>
        <w:spacing w:after="180" w:line="360" w:lineRule="atLeast"/>
        <w:rPr>
          <w:rFonts w:ascii="Tahoma" w:eastAsia="Times New Roman" w:hAnsi="Tahoma" w:cs="Tahoma"/>
          <w:color w:val="4A4A4A"/>
          <w:sz w:val="11"/>
          <w:szCs w:val="11"/>
          <w:lang w:eastAsia="ru-RU"/>
        </w:rPr>
      </w:pPr>
      <w:r w:rsidRPr="00A61399">
        <w:rPr>
          <w:rFonts w:ascii="Tahoma" w:eastAsia="Times New Roman" w:hAnsi="Tahoma" w:cs="Tahoma"/>
          <w:color w:val="4A4A4A"/>
          <w:sz w:val="11"/>
          <w:szCs w:val="11"/>
          <w:lang w:eastAsia="ru-RU"/>
        </w:rPr>
        <w:t>Керуючись ст. 40, 59 Закону України “Про місцеве самоврядування в Україні”, Законом України «Про регулювання містобудівної діяльності»,  рішенням виконкому міської ради №620 від 30.07.2013р. «Про деякі питання розміщення тимчасових споруд на території міста Сєвєродонецька», розглянувши  матеріали  аналізу розміщення тимчасових споруд на території міста Сєвєродонецька, підготовлені відділом містобудування та архітектури, враховуючи пропозиції робочої групи по підготовці Порядку  розміщення тимчасових споруд для провадження підприємницької діяльності на території Сєвєродонецької міської ради (протокол №7 від 11.11.2013р.), виконком міської ради</w:t>
      </w:r>
    </w:p>
    <w:p w:rsidR="00A61399" w:rsidRPr="00A61399" w:rsidRDefault="00A61399" w:rsidP="00A61399">
      <w:pPr>
        <w:shd w:val="clear" w:color="auto" w:fill="FFFFFF"/>
        <w:spacing w:after="180" w:line="360" w:lineRule="atLeast"/>
        <w:ind w:firstLine="720"/>
        <w:rPr>
          <w:rFonts w:ascii="Tahoma" w:eastAsia="Times New Roman" w:hAnsi="Tahoma" w:cs="Tahoma"/>
          <w:color w:val="4A4A4A"/>
          <w:sz w:val="11"/>
          <w:szCs w:val="11"/>
          <w:lang w:eastAsia="ru-RU"/>
        </w:rPr>
      </w:pPr>
      <w:r w:rsidRPr="00A61399">
        <w:rPr>
          <w:rFonts w:ascii="Tahoma" w:eastAsia="Times New Roman" w:hAnsi="Tahoma" w:cs="Tahoma"/>
          <w:color w:val="4A4A4A"/>
          <w:sz w:val="24"/>
          <w:szCs w:val="24"/>
          <w:lang w:val="uk-UA" w:eastAsia="ru-RU"/>
        </w:rPr>
        <w:t> </w:t>
      </w:r>
    </w:p>
    <w:p w:rsidR="00A61399" w:rsidRPr="00A61399" w:rsidRDefault="00A61399" w:rsidP="00A61399">
      <w:pPr>
        <w:shd w:val="clear" w:color="auto" w:fill="FFFFFF"/>
        <w:spacing w:after="60" w:line="266" w:lineRule="atLeast"/>
        <w:outlineLvl w:val="2"/>
        <w:rPr>
          <w:rFonts w:ascii="Tahoma" w:eastAsia="Times New Roman" w:hAnsi="Tahoma" w:cs="Tahoma"/>
          <w:b/>
          <w:bCs/>
          <w:color w:val="4A4A4A"/>
          <w:sz w:val="29"/>
          <w:szCs w:val="29"/>
          <w:lang w:eastAsia="ru-RU"/>
        </w:rPr>
      </w:pPr>
      <w:r w:rsidRPr="00A61399">
        <w:rPr>
          <w:rFonts w:ascii="Tahoma" w:eastAsia="Times New Roman" w:hAnsi="Tahoma" w:cs="Tahoma"/>
          <w:b/>
          <w:bCs/>
          <w:color w:val="4A4A4A"/>
          <w:sz w:val="29"/>
          <w:szCs w:val="29"/>
          <w:lang w:val="uk-UA" w:eastAsia="ru-RU"/>
        </w:rPr>
        <w:t>ВИРІШИВ:</w:t>
      </w:r>
    </w:p>
    <w:p w:rsidR="00A61399" w:rsidRPr="00A61399" w:rsidRDefault="00A61399" w:rsidP="00A61399">
      <w:pPr>
        <w:shd w:val="clear" w:color="auto" w:fill="FFFFFF"/>
        <w:jc w:val="both"/>
        <w:rPr>
          <w:rFonts w:ascii="Tahoma" w:eastAsia="Times New Roman" w:hAnsi="Tahoma" w:cs="Tahoma"/>
          <w:color w:val="4A4A4A"/>
          <w:sz w:val="11"/>
          <w:szCs w:val="11"/>
          <w:lang w:eastAsia="ru-RU"/>
        </w:rPr>
      </w:pPr>
      <w:r w:rsidRPr="00A61399">
        <w:rPr>
          <w:rFonts w:ascii="Tahoma" w:eastAsia="Times New Roman" w:hAnsi="Tahoma" w:cs="Tahoma"/>
          <w:color w:val="4A4A4A"/>
          <w:sz w:val="11"/>
          <w:szCs w:val="11"/>
          <w:lang w:eastAsia="ru-RU"/>
        </w:rPr>
        <w:t>            1. Прийняти до відома результати аналізу розміщення стаціонарних тимчасових споруд для провадження підприємницької діяльності (Додаток 1).</w:t>
      </w:r>
    </w:p>
    <w:p w:rsidR="00A61399" w:rsidRPr="00A61399" w:rsidRDefault="00A61399" w:rsidP="00A61399">
      <w:pPr>
        <w:shd w:val="clear" w:color="auto" w:fill="FFFFFF"/>
        <w:spacing w:after="180" w:line="360" w:lineRule="atLeast"/>
        <w:rPr>
          <w:rFonts w:ascii="Tahoma" w:eastAsia="Times New Roman" w:hAnsi="Tahoma" w:cs="Tahoma"/>
          <w:color w:val="4A4A4A"/>
          <w:sz w:val="11"/>
          <w:szCs w:val="11"/>
          <w:lang w:eastAsia="ru-RU"/>
        </w:rPr>
      </w:pPr>
      <w:r w:rsidRPr="00A61399">
        <w:rPr>
          <w:rFonts w:ascii="Tahoma" w:eastAsia="Times New Roman" w:hAnsi="Tahoma" w:cs="Tahoma"/>
          <w:color w:val="4A4A4A"/>
          <w:sz w:val="11"/>
          <w:szCs w:val="11"/>
          <w:lang w:eastAsia="ru-RU"/>
        </w:rPr>
        <w:t>           2. Відділу містобудування та архітектури, Відділу земельних відносин та відділу торгівлі та побутового обслуговування населення прийняти до відома і використання в роботі результати аналізу. </w:t>
      </w:r>
    </w:p>
    <w:p w:rsidR="00A61399" w:rsidRPr="00A61399" w:rsidRDefault="00A61399" w:rsidP="00A61399">
      <w:pPr>
        <w:shd w:val="clear" w:color="auto" w:fill="FFFFFF"/>
        <w:spacing w:after="180" w:line="360" w:lineRule="atLeast"/>
        <w:rPr>
          <w:rFonts w:ascii="Tahoma" w:eastAsia="Times New Roman" w:hAnsi="Tahoma" w:cs="Tahoma"/>
          <w:color w:val="4A4A4A"/>
          <w:sz w:val="11"/>
          <w:szCs w:val="11"/>
          <w:lang w:eastAsia="ru-RU"/>
        </w:rPr>
      </w:pPr>
      <w:r w:rsidRPr="00A61399">
        <w:rPr>
          <w:rFonts w:ascii="Tahoma" w:eastAsia="Times New Roman" w:hAnsi="Tahoma" w:cs="Tahoma"/>
          <w:color w:val="4A4A4A"/>
          <w:sz w:val="11"/>
          <w:szCs w:val="11"/>
          <w:lang w:eastAsia="ru-RU"/>
        </w:rPr>
        <w:t>           3. Дане рішення підлягає оприлюдненню.</w:t>
      </w:r>
    </w:p>
    <w:p w:rsidR="00A61399" w:rsidRPr="00A61399" w:rsidRDefault="00A61399" w:rsidP="00A61399">
      <w:pPr>
        <w:shd w:val="clear" w:color="auto" w:fill="FFFFFF"/>
        <w:spacing w:after="180" w:line="360" w:lineRule="atLeast"/>
        <w:rPr>
          <w:rFonts w:ascii="Tahoma" w:eastAsia="Times New Roman" w:hAnsi="Tahoma" w:cs="Tahoma"/>
          <w:color w:val="4A4A4A"/>
          <w:sz w:val="11"/>
          <w:szCs w:val="11"/>
          <w:lang w:eastAsia="ru-RU"/>
        </w:rPr>
      </w:pPr>
      <w:r w:rsidRPr="00A61399">
        <w:rPr>
          <w:rFonts w:ascii="Tahoma" w:eastAsia="Times New Roman" w:hAnsi="Tahoma" w:cs="Tahoma"/>
          <w:color w:val="4A4A4A"/>
          <w:sz w:val="11"/>
          <w:szCs w:val="11"/>
          <w:lang w:eastAsia="ru-RU"/>
        </w:rPr>
        <w:t>           4. Контроль за виконанням цього рішення покласти на заступника міського голови Кравченка В.Г.</w:t>
      </w:r>
    </w:p>
    <w:p w:rsidR="00A61399" w:rsidRPr="00A61399" w:rsidRDefault="00A61399" w:rsidP="00A61399">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A61399">
        <w:rPr>
          <w:rFonts w:ascii="Tahoma" w:eastAsia="Times New Roman" w:hAnsi="Tahoma" w:cs="Tahoma"/>
          <w:color w:val="4A4A4A"/>
          <w:sz w:val="24"/>
          <w:szCs w:val="24"/>
          <w:lang w:val="uk-UA" w:eastAsia="ru-RU"/>
        </w:rPr>
        <w:t> </w:t>
      </w:r>
    </w:p>
    <w:p w:rsidR="00A61399" w:rsidRPr="00A61399" w:rsidRDefault="00A61399" w:rsidP="00A61399">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A61399">
        <w:rPr>
          <w:rFonts w:ascii="Tahoma" w:eastAsia="Times New Roman" w:hAnsi="Tahoma" w:cs="Tahoma"/>
          <w:color w:val="4A4A4A"/>
          <w:sz w:val="24"/>
          <w:szCs w:val="24"/>
          <w:lang w:val="uk-UA" w:eastAsia="ru-RU"/>
        </w:rPr>
        <w:t> </w:t>
      </w:r>
    </w:p>
    <w:tbl>
      <w:tblPr>
        <w:tblW w:w="0" w:type="auto"/>
        <w:tblInd w:w="108" w:type="dxa"/>
        <w:shd w:val="clear" w:color="auto" w:fill="FFFFFF"/>
        <w:tblCellMar>
          <w:left w:w="0" w:type="dxa"/>
          <w:right w:w="0" w:type="dxa"/>
        </w:tblCellMar>
        <w:tblLook w:val="04A0"/>
      </w:tblPr>
      <w:tblGrid>
        <w:gridCol w:w="7782"/>
        <w:gridCol w:w="1681"/>
      </w:tblGrid>
      <w:tr w:rsidR="00A61399" w:rsidRPr="00A61399" w:rsidTr="00A61399">
        <w:tc>
          <w:tcPr>
            <w:tcW w:w="9000" w:type="dxa"/>
            <w:tcBorders>
              <w:top w:val="nil"/>
              <w:left w:val="nil"/>
              <w:bottom w:val="nil"/>
              <w:right w:val="nil"/>
            </w:tcBorders>
            <w:shd w:val="clear" w:color="auto" w:fill="FFFFFF"/>
            <w:tcMar>
              <w:top w:w="0" w:type="dxa"/>
              <w:left w:w="108" w:type="dxa"/>
              <w:bottom w:w="0" w:type="dxa"/>
              <w:right w:w="108" w:type="dxa"/>
            </w:tcMar>
            <w:hideMark/>
          </w:tcPr>
          <w:p w:rsidR="00A61399" w:rsidRPr="00A61399" w:rsidRDefault="00A61399" w:rsidP="00A61399">
            <w:pPr>
              <w:spacing w:after="180" w:line="166" w:lineRule="atLeast"/>
              <w:rPr>
                <w:rFonts w:ascii="Times New Roman" w:eastAsia="Times New Roman" w:hAnsi="Times New Roman" w:cs="Times New Roman"/>
                <w:color w:val="4A4A4A"/>
                <w:sz w:val="24"/>
                <w:szCs w:val="24"/>
                <w:lang w:eastAsia="ru-RU"/>
              </w:rPr>
            </w:pPr>
            <w:r w:rsidRPr="00A61399">
              <w:rPr>
                <w:rFonts w:ascii="Times New Roman" w:eastAsia="Times New Roman" w:hAnsi="Times New Roman" w:cs="Times New Roman"/>
                <w:b/>
                <w:bCs/>
                <w:color w:val="4A4A4A"/>
                <w:sz w:val="24"/>
                <w:szCs w:val="24"/>
                <w:lang w:val="uk-UA" w:eastAsia="ru-RU"/>
              </w:rPr>
              <w:t>Секретар міської ради                                                          А.А.Гавриленко</w:t>
            </w:r>
          </w:p>
        </w:tc>
        <w:tc>
          <w:tcPr>
            <w:tcW w:w="2594" w:type="dxa"/>
            <w:tcBorders>
              <w:top w:val="nil"/>
              <w:left w:val="nil"/>
              <w:bottom w:val="nil"/>
              <w:right w:val="nil"/>
            </w:tcBorders>
            <w:shd w:val="clear" w:color="auto" w:fill="FFFFFF"/>
            <w:tcMar>
              <w:top w:w="0" w:type="dxa"/>
              <w:left w:w="108" w:type="dxa"/>
              <w:bottom w:w="0" w:type="dxa"/>
              <w:right w:w="108" w:type="dxa"/>
            </w:tcMar>
            <w:hideMark/>
          </w:tcPr>
          <w:p w:rsidR="00A61399" w:rsidRPr="00A61399" w:rsidRDefault="00A61399" w:rsidP="00A61399">
            <w:pPr>
              <w:spacing w:after="180" w:line="166" w:lineRule="atLeast"/>
              <w:rPr>
                <w:rFonts w:ascii="Times New Roman" w:eastAsia="Times New Roman" w:hAnsi="Times New Roman" w:cs="Times New Roman"/>
                <w:color w:val="4A4A4A"/>
                <w:sz w:val="24"/>
                <w:szCs w:val="24"/>
                <w:lang w:eastAsia="ru-RU"/>
              </w:rPr>
            </w:pPr>
            <w:r w:rsidRPr="00A61399">
              <w:rPr>
                <w:rFonts w:ascii="Times New Roman" w:eastAsia="Times New Roman" w:hAnsi="Times New Roman" w:cs="Times New Roman"/>
                <w:b/>
                <w:bCs/>
                <w:color w:val="4A4A4A"/>
                <w:sz w:val="24"/>
                <w:szCs w:val="24"/>
                <w:lang w:val="uk-UA" w:eastAsia="ru-RU"/>
              </w:rPr>
              <w:t>  </w:t>
            </w:r>
          </w:p>
        </w:tc>
      </w:tr>
      <w:tr w:rsidR="00A61399" w:rsidRPr="00A61399" w:rsidTr="00A61399">
        <w:tc>
          <w:tcPr>
            <w:tcW w:w="9000" w:type="dxa"/>
            <w:tcBorders>
              <w:top w:val="nil"/>
              <w:left w:val="nil"/>
              <w:bottom w:val="nil"/>
              <w:right w:val="nil"/>
            </w:tcBorders>
            <w:shd w:val="clear" w:color="auto" w:fill="FFFFFF"/>
            <w:tcMar>
              <w:top w:w="0" w:type="dxa"/>
              <w:left w:w="108" w:type="dxa"/>
              <w:bottom w:w="0" w:type="dxa"/>
              <w:right w:w="108" w:type="dxa"/>
            </w:tcMar>
            <w:hideMark/>
          </w:tcPr>
          <w:p w:rsidR="00A61399" w:rsidRPr="00A61399" w:rsidRDefault="00A61399" w:rsidP="00A61399">
            <w:pPr>
              <w:spacing w:after="180" w:line="166" w:lineRule="atLeast"/>
              <w:rPr>
                <w:rFonts w:ascii="Times New Roman" w:eastAsia="Times New Roman" w:hAnsi="Times New Roman" w:cs="Times New Roman"/>
                <w:color w:val="4A4A4A"/>
                <w:sz w:val="24"/>
                <w:szCs w:val="24"/>
                <w:lang w:eastAsia="ru-RU"/>
              </w:rPr>
            </w:pPr>
            <w:r w:rsidRPr="00A61399">
              <w:rPr>
                <w:rFonts w:ascii="Times New Roman" w:eastAsia="Times New Roman" w:hAnsi="Times New Roman" w:cs="Times New Roman"/>
                <w:b/>
                <w:bCs/>
                <w:color w:val="4A4A4A"/>
                <w:sz w:val="24"/>
                <w:szCs w:val="24"/>
                <w:lang w:val="uk-UA" w:eastAsia="ru-RU"/>
              </w:rPr>
              <w:t> </w:t>
            </w:r>
          </w:p>
        </w:tc>
        <w:tc>
          <w:tcPr>
            <w:tcW w:w="2594" w:type="dxa"/>
            <w:tcBorders>
              <w:top w:val="nil"/>
              <w:left w:val="nil"/>
              <w:bottom w:val="nil"/>
              <w:right w:val="nil"/>
            </w:tcBorders>
            <w:shd w:val="clear" w:color="auto" w:fill="FFFFFF"/>
            <w:tcMar>
              <w:top w:w="0" w:type="dxa"/>
              <w:left w:w="108" w:type="dxa"/>
              <w:bottom w:w="0" w:type="dxa"/>
              <w:right w:w="108" w:type="dxa"/>
            </w:tcMar>
            <w:hideMark/>
          </w:tcPr>
          <w:p w:rsidR="00A61399" w:rsidRPr="00A61399" w:rsidRDefault="00A61399" w:rsidP="00A61399">
            <w:pPr>
              <w:rPr>
                <w:rFonts w:ascii="Tahoma" w:eastAsia="Times New Roman" w:hAnsi="Tahoma" w:cs="Tahoma"/>
                <w:color w:val="4A4A4A"/>
                <w:sz w:val="11"/>
                <w:szCs w:val="11"/>
                <w:lang w:eastAsia="ru-RU"/>
              </w:rPr>
            </w:pPr>
            <w:r w:rsidRPr="00A61399">
              <w:rPr>
                <w:rFonts w:ascii="Tahoma" w:eastAsia="Times New Roman" w:hAnsi="Tahoma" w:cs="Tahoma"/>
                <w:color w:val="4A4A4A"/>
                <w:sz w:val="11"/>
                <w:szCs w:val="11"/>
                <w:lang w:eastAsia="ru-RU"/>
              </w:rPr>
              <w:t> </w:t>
            </w:r>
          </w:p>
        </w:tc>
      </w:tr>
    </w:tbl>
    <w:p w:rsidR="00A61399" w:rsidRPr="00A61399" w:rsidRDefault="00A61399" w:rsidP="00A61399">
      <w:pPr>
        <w:shd w:val="clear" w:color="auto" w:fill="FFFFFF"/>
        <w:spacing w:after="180" w:line="360" w:lineRule="atLeast"/>
        <w:jc w:val="right"/>
        <w:rPr>
          <w:rFonts w:ascii="Tahoma" w:eastAsia="Times New Roman" w:hAnsi="Tahoma" w:cs="Tahoma"/>
          <w:color w:val="4A4A4A"/>
          <w:sz w:val="11"/>
          <w:szCs w:val="11"/>
          <w:lang w:eastAsia="ru-RU"/>
        </w:rPr>
      </w:pPr>
      <w:r w:rsidRPr="00A61399">
        <w:rPr>
          <w:rFonts w:ascii="Tahoma" w:eastAsia="Times New Roman" w:hAnsi="Tahoma" w:cs="Tahoma"/>
          <w:color w:val="4A4A4A"/>
          <w:sz w:val="24"/>
          <w:szCs w:val="24"/>
          <w:lang w:val="uk-UA" w:eastAsia="ru-RU"/>
        </w:rPr>
        <w:t>                                                                                                           </w:t>
      </w:r>
      <w:r w:rsidRPr="00A61399">
        <w:rPr>
          <w:rFonts w:ascii="Tahoma" w:eastAsia="Times New Roman" w:hAnsi="Tahoma" w:cs="Tahoma"/>
          <w:i/>
          <w:iCs/>
          <w:color w:val="4A4A4A"/>
          <w:sz w:val="11"/>
          <w:lang w:eastAsia="ru-RU"/>
        </w:rPr>
        <w:t>  Додаток 1</w:t>
      </w:r>
    </w:p>
    <w:p w:rsidR="00A61399" w:rsidRPr="00A61399" w:rsidRDefault="00A61399" w:rsidP="00A61399">
      <w:pPr>
        <w:shd w:val="clear" w:color="auto" w:fill="FFFFFF"/>
        <w:spacing w:after="180" w:line="360" w:lineRule="atLeast"/>
        <w:jc w:val="right"/>
        <w:rPr>
          <w:rFonts w:ascii="Tahoma" w:eastAsia="Times New Roman" w:hAnsi="Tahoma" w:cs="Tahoma"/>
          <w:color w:val="4A4A4A"/>
          <w:sz w:val="11"/>
          <w:szCs w:val="11"/>
          <w:lang w:eastAsia="ru-RU"/>
        </w:rPr>
      </w:pPr>
      <w:r w:rsidRPr="00A61399">
        <w:rPr>
          <w:rFonts w:ascii="Tahoma" w:eastAsia="Times New Roman" w:hAnsi="Tahoma" w:cs="Tahoma"/>
          <w:i/>
          <w:iCs/>
          <w:color w:val="4A4A4A"/>
          <w:sz w:val="11"/>
          <w:lang w:eastAsia="ru-RU"/>
        </w:rPr>
        <w:t>                                                                                                             до рішення виконкому</w:t>
      </w:r>
    </w:p>
    <w:p w:rsidR="00A61399" w:rsidRPr="00A61399" w:rsidRDefault="00A61399" w:rsidP="00A61399">
      <w:pPr>
        <w:shd w:val="clear" w:color="auto" w:fill="FFFFFF"/>
        <w:spacing w:after="180" w:line="360" w:lineRule="atLeast"/>
        <w:jc w:val="right"/>
        <w:rPr>
          <w:rFonts w:ascii="Tahoma" w:eastAsia="Times New Roman" w:hAnsi="Tahoma" w:cs="Tahoma"/>
          <w:color w:val="4A4A4A"/>
          <w:sz w:val="11"/>
          <w:szCs w:val="11"/>
          <w:lang w:eastAsia="ru-RU"/>
        </w:rPr>
      </w:pPr>
      <w:r w:rsidRPr="00A61399">
        <w:rPr>
          <w:rFonts w:ascii="Tahoma" w:eastAsia="Times New Roman" w:hAnsi="Tahoma" w:cs="Tahoma"/>
          <w:i/>
          <w:iCs/>
          <w:color w:val="4A4A4A"/>
          <w:sz w:val="11"/>
          <w:lang w:eastAsia="ru-RU"/>
        </w:rPr>
        <w:t>                                                                                                             від 26.11.20013р  № 947</w:t>
      </w:r>
    </w:p>
    <w:p w:rsidR="00A61399" w:rsidRPr="00A61399" w:rsidRDefault="00A61399" w:rsidP="00A61399">
      <w:pPr>
        <w:shd w:val="clear" w:color="auto" w:fill="FFFFFF"/>
        <w:spacing w:after="180" w:line="360" w:lineRule="atLeast"/>
        <w:rPr>
          <w:rFonts w:ascii="Tahoma" w:eastAsia="Times New Roman" w:hAnsi="Tahoma" w:cs="Tahoma"/>
          <w:color w:val="4A4A4A"/>
          <w:sz w:val="11"/>
          <w:szCs w:val="11"/>
          <w:lang w:eastAsia="ru-RU"/>
        </w:rPr>
      </w:pPr>
      <w:r w:rsidRPr="00A61399">
        <w:rPr>
          <w:rFonts w:ascii="Tahoma" w:eastAsia="Times New Roman" w:hAnsi="Tahoma" w:cs="Tahoma"/>
          <w:b/>
          <w:bCs/>
          <w:color w:val="4A4A4A"/>
          <w:sz w:val="24"/>
          <w:szCs w:val="24"/>
          <w:lang w:val="uk-UA" w:eastAsia="ru-RU"/>
        </w:rPr>
        <w:t>   </w:t>
      </w:r>
    </w:p>
    <w:p w:rsidR="00A61399" w:rsidRPr="00A61399" w:rsidRDefault="00A61399" w:rsidP="00A61399">
      <w:pPr>
        <w:shd w:val="clear" w:color="auto" w:fill="FFFFFF"/>
        <w:spacing w:after="180" w:line="360" w:lineRule="atLeast"/>
        <w:rPr>
          <w:rFonts w:ascii="Tahoma" w:eastAsia="Times New Roman" w:hAnsi="Tahoma" w:cs="Tahoma"/>
          <w:color w:val="4A4A4A"/>
          <w:sz w:val="11"/>
          <w:szCs w:val="11"/>
          <w:lang w:eastAsia="ru-RU"/>
        </w:rPr>
      </w:pPr>
      <w:r w:rsidRPr="00A61399">
        <w:rPr>
          <w:rFonts w:ascii="Tahoma" w:eastAsia="Times New Roman" w:hAnsi="Tahoma" w:cs="Tahoma"/>
          <w:b/>
          <w:bCs/>
          <w:color w:val="4A4A4A"/>
          <w:sz w:val="24"/>
          <w:szCs w:val="24"/>
          <w:lang w:val="uk-UA" w:eastAsia="ru-RU"/>
        </w:rPr>
        <w:t> </w:t>
      </w:r>
    </w:p>
    <w:p w:rsidR="00A61399" w:rsidRPr="00A61399" w:rsidRDefault="00A61399" w:rsidP="00A61399">
      <w:pPr>
        <w:shd w:val="clear" w:color="auto" w:fill="FFFFFF"/>
        <w:spacing w:after="180" w:line="360" w:lineRule="atLeast"/>
        <w:jc w:val="center"/>
        <w:rPr>
          <w:rFonts w:ascii="Tahoma" w:eastAsia="Times New Roman" w:hAnsi="Tahoma" w:cs="Tahoma"/>
          <w:color w:val="4A4A4A"/>
          <w:sz w:val="11"/>
          <w:szCs w:val="11"/>
          <w:lang w:eastAsia="ru-RU"/>
        </w:rPr>
      </w:pPr>
      <w:r w:rsidRPr="00A61399">
        <w:rPr>
          <w:rFonts w:ascii="Tahoma" w:eastAsia="Times New Roman" w:hAnsi="Tahoma" w:cs="Tahoma"/>
          <w:b/>
          <w:bCs/>
          <w:color w:val="4A4A4A"/>
          <w:sz w:val="11"/>
          <w:lang w:eastAsia="ru-RU"/>
        </w:rPr>
        <w:t>                 Результати аналізу розміщення стаціонарних тимчасових споруд для</w:t>
      </w:r>
    </w:p>
    <w:p w:rsidR="00A61399" w:rsidRPr="00A61399" w:rsidRDefault="00A61399" w:rsidP="00A61399">
      <w:pPr>
        <w:shd w:val="clear" w:color="auto" w:fill="FFFFFF"/>
        <w:spacing w:after="180" w:line="360" w:lineRule="atLeast"/>
        <w:jc w:val="center"/>
        <w:rPr>
          <w:rFonts w:ascii="Tahoma" w:eastAsia="Times New Roman" w:hAnsi="Tahoma" w:cs="Tahoma"/>
          <w:color w:val="4A4A4A"/>
          <w:sz w:val="11"/>
          <w:szCs w:val="11"/>
          <w:lang w:eastAsia="ru-RU"/>
        </w:rPr>
      </w:pPr>
      <w:r w:rsidRPr="00A61399">
        <w:rPr>
          <w:rFonts w:ascii="Tahoma" w:eastAsia="Times New Roman" w:hAnsi="Tahoma" w:cs="Tahoma"/>
          <w:b/>
          <w:bCs/>
          <w:color w:val="4A4A4A"/>
          <w:sz w:val="11"/>
          <w:lang w:eastAsia="ru-RU"/>
        </w:rPr>
        <w:t>                  провадження підприємницької діяльності в місті Сєвєродонецьку</w:t>
      </w:r>
    </w:p>
    <w:p w:rsidR="00A61399" w:rsidRPr="00A61399" w:rsidRDefault="00A61399" w:rsidP="00A61399">
      <w:pPr>
        <w:shd w:val="clear" w:color="auto" w:fill="FFFFFF"/>
        <w:spacing w:after="180" w:line="360" w:lineRule="atLeast"/>
        <w:jc w:val="center"/>
        <w:rPr>
          <w:rFonts w:ascii="Tahoma" w:eastAsia="Times New Roman" w:hAnsi="Tahoma" w:cs="Tahoma"/>
          <w:color w:val="4A4A4A"/>
          <w:sz w:val="11"/>
          <w:szCs w:val="11"/>
          <w:lang w:eastAsia="ru-RU"/>
        </w:rPr>
      </w:pPr>
      <w:r w:rsidRPr="00A61399">
        <w:rPr>
          <w:rFonts w:ascii="Tahoma" w:eastAsia="Times New Roman" w:hAnsi="Tahoma" w:cs="Tahoma"/>
          <w:b/>
          <w:bCs/>
          <w:color w:val="4A4A4A"/>
          <w:sz w:val="11"/>
          <w:lang w:eastAsia="ru-RU"/>
        </w:rPr>
        <w:lastRenderedPageBreak/>
        <w:t>станом на 01.11.2013р.</w:t>
      </w:r>
    </w:p>
    <w:p w:rsidR="00A61399" w:rsidRPr="00A61399" w:rsidRDefault="00A61399" w:rsidP="00A61399">
      <w:pPr>
        <w:shd w:val="clear" w:color="auto" w:fill="FFFFFF"/>
        <w:spacing w:after="180" w:line="360" w:lineRule="atLeast"/>
        <w:jc w:val="both"/>
        <w:rPr>
          <w:rFonts w:ascii="Tahoma" w:eastAsia="Times New Roman" w:hAnsi="Tahoma" w:cs="Tahoma"/>
          <w:color w:val="4A4A4A"/>
          <w:sz w:val="11"/>
          <w:szCs w:val="11"/>
          <w:lang w:eastAsia="ru-RU"/>
        </w:rPr>
      </w:pPr>
      <w:r w:rsidRPr="00A61399">
        <w:rPr>
          <w:rFonts w:ascii="Tahoma" w:eastAsia="Times New Roman" w:hAnsi="Tahoma" w:cs="Tahoma"/>
          <w:b/>
          <w:bCs/>
          <w:color w:val="4A4A4A"/>
          <w:sz w:val="24"/>
          <w:szCs w:val="24"/>
          <w:lang w:val="uk-UA" w:eastAsia="ru-RU"/>
        </w:rPr>
        <w:t> </w:t>
      </w:r>
    </w:p>
    <w:p w:rsidR="00A61399" w:rsidRPr="00A61399" w:rsidRDefault="00A61399" w:rsidP="00A61399">
      <w:pPr>
        <w:shd w:val="clear" w:color="auto" w:fill="FFFFFF"/>
        <w:spacing w:after="180" w:line="360" w:lineRule="atLeast"/>
        <w:jc w:val="both"/>
        <w:rPr>
          <w:rFonts w:ascii="Tahoma" w:eastAsia="Times New Roman" w:hAnsi="Tahoma" w:cs="Tahoma"/>
          <w:color w:val="4A4A4A"/>
          <w:sz w:val="11"/>
          <w:szCs w:val="11"/>
          <w:lang w:eastAsia="ru-RU"/>
        </w:rPr>
      </w:pPr>
      <w:r w:rsidRPr="00A61399">
        <w:rPr>
          <w:rFonts w:ascii="Tahoma" w:eastAsia="Times New Roman" w:hAnsi="Tahoma" w:cs="Tahoma"/>
          <w:color w:val="4A4A4A"/>
          <w:sz w:val="11"/>
          <w:szCs w:val="11"/>
          <w:lang w:eastAsia="ru-RU"/>
        </w:rPr>
        <w:t>           На виконання рішення виконкому міської ради №620 від 30.07.2013р. «Про деякі питання розміщення тимчасових споруд на територіъ міста Сєвєродонецька», з метою визначення містобудівної ситуації в місті, для подальшого врахування в роботі, відділом містобудування та архітектури був проведений аналіз розміщення тимчасових споруд на відповідність Комплексній схемі розміщення тимчасових споруд у м.Сєвєродонецьку, затвердженої рішенням виконкому міської ради №490 від 11.06.2013р. та на відповідність зовнішнього вигляду тимчасових споруд сучасним архітектурним вимогам і нормам. Дані проведеного аналізу наведені в таблицях 1 та 2.          </w:t>
      </w:r>
    </w:p>
    <w:p w:rsidR="00A61399" w:rsidRPr="00A61399" w:rsidRDefault="00A61399" w:rsidP="00A61399">
      <w:pPr>
        <w:shd w:val="clear" w:color="auto" w:fill="FFFFFF"/>
        <w:spacing w:after="180" w:line="360" w:lineRule="atLeast"/>
        <w:rPr>
          <w:rFonts w:ascii="Tahoma" w:eastAsia="Times New Roman" w:hAnsi="Tahoma" w:cs="Tahoma"/>
          <w:color w:val="4A4A4A"/>
          <w:sz w:val="11"/>
          <w:szCs w:val="11"/>
          <w:lang w:eastAsia="ru-RU"/>
        </w:rPr>
      </w:pPr>
      <w:r w:rsidRPr="00A61399">
        <w:rPr>
          <w:rFonts w:ascii="Tahoma" w:eastAsia="Times New Roman" w:hAnsi="Tahoma" w:cs="Tahoma"/>
          <w:color w:val="4A4A4A"/>
          <w:sz w:val="11"/>
          <w:szCs w:val="11"/>
          <w:lang w:eastAsia="ru-RU"/>
        </w:rPr>
        <w:t>          Всього було розглянуто 103 об’єкти з найменуванням “павільйон» та «кіоск», під які Сєвєродонецькою міською радою виділялись земельні ділянки та які розташовані на території міста Сєвєродонецька.</w:t>
      </w:r>
    </w:p>
    <w:p w:rsidR="00A61399" w:rsidRPr="00A61399" w:rsidRDefault="00A61399" w:rsidP="00A61399">
      <w:pPr>
        <w:shd w:val="clear" w:color="auto" w:fill="FFFFFF"/>
        <w:spacing w:after="180" w:line="360" w:lineRule="atLeast"/>
        <w:rPr>
          <w:rFonts w:ascii="Tahoma" w:eastAsia="Times New Roman" w:hAnsi="Tahoma" w:cs="Tahoma"/>
          <w:color w:val="4A4A4A"/>
          <w:sz w:val="11"/>
          <w:szCs w:val="11"/>
          <w:lang w:eastAsia="ru-RU"/>
        </w:rPr>
      </w:pPr>
      <w:r w:rsidRPr="00A61399">
        <w:rPr>
          <w:rFonts w:ascii="Tahoma" w:eastAsia="Times New Roman" w:hAnsi="Tahoma" w:cs="Tahoma"/>
          <w:color w:val="4A4A4A"/>
          <w:sz w:val="11"/>
          <w:szCs w:val="11"/>
          <w:lang w:eastAsia="ru-RU"/>
        </w:rPr>
        <w:t>           Із них 84 споруди відносяться до тимчасових споруд, 15 -  капітальні споруди ( із них – 13 існуючі капітальні споруди, 2 споруди – капітальні, що будуються),      4 тимчасові споруди – демонтовані.</w:t>
      </w:r>
    </w:p>
    <w:p w:rsidR="00A61399" w:rsidRPr="00A61399" w:rsidRDefault="00A61399" w:rsidP="00A61399">
      <w:pPr>
        <w:shd w:val="clear" w:color="auto" w:fill="FFFFFF"/>
        <w:spacing w:after="180" w:line="360" w:lineRule="atLeast"/>
        <w:rPr>
          <w:rFonts w:ascii="Tahoma" w:eastAsia="Times New Roman" w:hAnsi="Tahoma" w:cs="Tahoma"/>
          <w:color w:val="4A4A4A"/>
          <w:sz w:val="11"/>
          <w:szCs w:val="11"/>
          <w:lang w:eastAsia="ru-RU"/>
        </w:rPr>
      </w:pPr>
      <w:r w:rsidRPr="00A61399">
        <w:rPr>
          <w:rFonts w:ascii="Tahoma" w:eastAsia="Times New Roman" w:hAnsi="Tahoma" w:cs="Tahoma"/>
          <w:color w:val="4A4A4A"/>
          <w:sz w:val="11"/>
          <w:szCs w:val="11"/>
          <w:lang w:eastAsia="ru-RU"/>
        </w:rPr>
        <w:t>           Із 84 тимчасових споруд відповідають Комплексній схемі – 61, не відповідають – 23.</w:t>
      </w:r>
    </w:p>
    <w:p w:rsidR="00A61399" w:rsidRPr="00A61399" w:rsidRDefault="00A61399" w:rsidP="00A61399">
      <w:pPr>
        <w:shd w:val="clear" w:color="auto" w:fill="FFFFFF"/>
        <w:spacing w:after="180" w:line="360" w:lineRule="atLeast"/>
        <w:rPr>
          <w:rFonts w:ascii="Tahoma" w:eastAsia="Times New Roman" w:hAnsi="Tahoma" w:cs="Tahoma"/>
          <w:color w:val="4A4A4A"/>
          <w:sz w:val="11"/>
          <w:szCs w:val="11"/>
          <w:lang w:eastAsia="ru-RU"/>
        </w:rPr>
      </w:pPr>
      <w:r w:rsidRPr="00A61399">
        <w:rPr>
          <w:rFonts w:ascii="Tahoma" w:eastAsia="Times New Roman" w:hAnsi="Tahoma" w:cs="Tahoma"/>
          <w:color w:val="4A4A4A"/>
          <w:sz w:val="11"/>
          <w:szCs w:val="11"/>
          <w:lang w:eastAsia="ru-RU"/>
        </w:rPr>
        <w:t>           Із тих тимчасових споруд, що відповідають Комплексній схемі,  – 5 споруд не використовуються, мають дуже зношений вигляд.</w:t>
      </w:r>
    </w:p>
    <w:p w:rsidR="00A61399" w:rsidRPr="00A61399" w:rsidRDefault="00A61399" w:rsidP="00A61399">
      <w:pPr>
        <w:shd w:val="clear" w:color="auto" w:fill="FFFFFF"/>
        <w:spacing w:after="180" w:line="360" w:lineRule="atLeast"/>
        <w:rPr>
          <w:rFonts w:ascii="Tahoma" w:eastAsia="Times New Roman" w:hAnsi="Tahoma" w:cs="Tahoma"/>
          <w:color w:val="4A4A4A"/>
          <w:sz w:val="11"/>
          <w:szCs w:val="11"/>
          <w:lang w:eastAsia="ru-RU"/>
        </w:rPr>
      </w:pPr>
      <w:r w:rsidRPr="00A61399">
        <w:rPr>
          <w:rFonts w:ascii="Tahoma" w:eastAsia="Times New Roman" w:hAnsi="Tahoma" w:cs="Tahoma"/>
          <w:color w:val="4A4A4A"/>
          <w:sz w:val="11"/>
          <w:szCs w:val="11"/>
          <w:lang w:eastAsia="ru-RU"/>
        </w:rPr>
        <w:t>           Фактично із 84 тимчасових споруд можливо залишити  56 споруд . Не у всіх споруд їх зовнішній вигляд та конструкція відповідають сучасним архітектурним вимогам, біля деяких із них не в повному обсязі виконаний благоустрій, територія заставлена холодильним обладнанням. Такий стан потребує зміни конструкцій тимчасових споруд, виконання благоустрою та розміщення холодильного обладнання відповідно до нормативів. Ці вимоги необхідно визначити в паспортах прив’язки тимчасових споруд.</w:t>
      </w:r>
    </w:p>
    <w:p w:rsidR="00A61399" w:rsidRPr="00A61399" w:rsidRDefault="00A61399" w:rsidP="00A61399">
      <w:pPr>
        <w:shd w:val="clear" w:color="auto" w:fill="FFFFFF"/>
        <w:spacing w:after="180" w:line="360" w:lineRule="atLeast"/>
        <w:rPr>
          <w:rFonts w:ascii="Tahoma" w:eastAsia="Times New Roman" w:hAnsi="Tahoma" w:cs="Tahoma"/>
          <w:color w:val="4A4A4A"/>
          <w:sz w:val="11"/>
          <w:szCs w:val="11"/>
          <w:lang w:eastAsia="ru-RU"/>
        </w:rPr>
      </w:pPr>
      <w:r w:rsidRPr="00A61399">
        <w:rPr>
          <w:rFonts w:ascii="Tahoma" w:eastAsia="Times New Roman" w:hAnsi="Tahoma" w:cs="Tahoma"/>
          <w:color w:val="4A4A4A"/>
          <w:sz w:val="11"/>
          <w:szCs w:val="11"/>
          <w:lang w:eastAsia="ru-RU"/>
        </w:rPr>
        <w:t>          Згідно законодавства тимчасові споруди, які не відповідають Комплексній схемі, паспортам прив’язки або не використовуються, підлягають демонтажу. Кількість споруд, що не відповідають Комплексній схемі, а також споруд що не використовуються та мають зношений вигляд – 28.</w:t>
      </w:r>
    </w:p>
    <w:p w:rsidR="00A61399" w:rsidRPr="00A61399" w:rsidRDefault="00A61399" w:rsidP="00A61399">
      <w:pPr>
        <w:shd w:val="clear" w:color="auto" w:fill="FFFFFF"/>
        <w:spacing w:after="180" w:line="360" w:lineRule="atLeast"/>
        <w:rPr>
          <w:rFonts w:ascii="Tahoma" w:eastAsia="Times New Roman" w:hAnsi="Tahoma" w:cs="Tahoma"/>
          <w:color w:val="4A4A4A"/>
          <w:sz w:val="11"/>
          <w:szCs w:val="11"/>
          <w:lang w:eastAsia="ru-RU"/>
        </w:rPr>
      </w:pPr>
      <w:r w:rsidRPr="00A61399">
        <w:rPr>
          <w:rFonts w:ascii="Tahoma" w:eastAsia="Times New Roman" w:hAnsi="Tahoma" w:cs="Tahoma"/>
          <w:color w:val="4A4A4A"/>
          <w:sz w:val="11"/>
          <w:szCs w:val="11"/>
          <w:lang w:eastAsia="ru-RU"/>
        </w:rPr>
        <w:t>           Щодо капітальних павільйонів та кіосків, які прийняті в експлуатацію та на які оформлено право власності, то в даному випадку немає необхідності оформлення паспортів прив’язки тимчасових споруд, тому що вони не відносяться до тимчасових споруд.</w:t>
      </w:r>
    </w:p>
    <w:p w:rsidR="00A61399" w:rsidRPr="00A61399" w:rsidRDefault="00A61399" w:rsidP="00A61399">
      <w:pPr>
        <w:shd w:val="clear" w:color="auto" w:fill="FFFFFF"/>
        <w:spacing w:after="180" w:line="360" w:lineRule="atLeast"/>
        <w:rPr>
          <w:rFonts w:ascii="Tahoma" w:eastAsia="Times New Roman" w:hAnsi="Tahoma" w:cs="Tahoma"/>
          <w:color w:val="4A4A4A"/>
          <w:sz w:val="11"/>
          <w:szCs w:val="11"/>
          <w:lang w:eastAsia="ru-RU"/>
        </w:rPr>
      </w:pPr>
      <w:r w:rsidRPr="00A61399">
        <w:rPr>
          <w:rFonts w:ascii="Tahoma" w:eastAsia="Times New Roman" w:hAnsi="Tahoma" w:cs="Tahoma"/>
          <w:color w:val="4A4A4A"/>
          <w:sz w:val="11"/>
          <w:szCs w:val="11"/>
          <w:lang w:eastAsia="ru-RU"/>
        </w:rPr>
        <w:t> </w:t>
      </w:r>
    </w:p>
    <w:p w:rsidR="00A61399" w:rsidRPr="00A61399" w:rsidRDefault="00A61399" w:rsidP="00A61399">
      <w:pPr>
        <w:shd w:val="clear" w:color="auto" w:fill="FFFFFF"/>
        <w:spacing w:after="180" w:line="360" w:lineRule="atLeast"/>
        <w:rPr>
          <w:rFonts w:ascii="Tahoma" w:eastAsia="Times New Roman" w:hAnsi="Tahoma" w:cs="Tahoma"/>
          <w:color w:val="4A4A4A"/>
          <w:sz w:val="11"/>
          <w:szCs w:val="11"/>
          <w:lang w:eastAsia="ru-RU"/>
        </w:rPr>
      </w:pPr>
      <w:r w:rsidRPr="00A61399">
        <w:rPr>
          <w:rFonts w:ascii="Tahoma" w:eastAsia="Times New Roman" w:hAnsi="Tahoma" w:cs="Tahoma"/>
          <w:color w:val="4A4A4A"/>
          <w:sz w:val="11"/>
          <w:szCs w:val="11"/>
          <w:lang w:eastAsia="ru-RU"/>
        </w:rPr>
        <w:t> </w:t>
      </w:r>
    </w:p>
    <w:p w:rsidR="00A61399" w:rsidRPr="00A61399" w:rsidRDefault="00A61399" w:rsidP="00A61399">
      <w:pPr>
        <w:shd w:val="clear" w:color="auto" w:fill="FFFFFF"/>
        <w:spacing w:after="180" w:line="360" w:lineRule="atLeast"/>
        <w:rPr>
          <w:rFonts w:ascii="Tahoma" w:eastAsia="Times New Roman" w:hAnsi="Tahoma" w:cs="Tahoma"/>
          <w:color w:val="4A4A4A"/>
          <w:sz w:val="11"/>
          <w:szCs w:val="11"/>
          <w:lang w:eastAsia="ru-RU"/>
        </w:rPr>
      </w:pPr>
      <w:r w:rsidRPr="00A61399">
        <w:rPr>
          <w:rFonts w:ascii="Tahoma" w:eastAsia="Times New Roman" w:hAnsi="Tahoma" w:cs="Tahoma"/>
          <w:b/>
          <w:bCs/>
          <w:color w:val="4A4A4A"/>
          <w:sz w:val="11"/>
          <w:lang w:eastAsia="ru-RU"/>
        </w:rPr>
        <w:t>                  Керуючий справами виконкому                                        Л.Ф.Єфименко</w:t>
      </w:r>
    </w:p>
    <w:p w:rsidR="00A61399" w:rsidRPr="00A61399" w:rsidRDefault="00A61399" w:rsidP="00A61399">
      <w:pPr>
        <w:shd w:val="clear" w:color="auto" w:fill="FFFFFF"/>
        <w:spacing w:after="180" w:line="360" w:lineRule="atLeast"/>
        <w:rPr>
          <w:rFonts w:ascii="Tahoma" w:eastAsia="Times New Roman" w:hAnsi="Tahoma" w:cs="Tahoma"/>
          <w:color w:val="4A4A4A"/>
          <w:sz w:val="11"/>
          <w:szCs w:val="11"/>
          <w:lang w:eastAsia="ru-RU"/>
        </w:rPr>
      </w:pPr>
      <w:r w:rsidRPr="00A61399">
        <w:rPr>
          <w:rFonts w:ascii="Tahoma" w:eastAsia="Times New Roman" w:hAnsi="Tahoma" w:cs="Tahoma"/>
          <w:color w:val="4A4A4A"/>
          <w:sz w:val="11"/>
          <w:szCs w:val="11"/>
          <w:lang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A61399"/>
    <w:rsid w:val="0036611E"/>
    <w:rsid w:val="00A61399"/>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A61399"/>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61399"/>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13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139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6139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odytext2">
    <w:name w:val="bodytext2"/>
    <w:basedOn w:val="a"/>
    <w:rsid w:val="00A61399"/>
    <w:pPr>
      <w:spacing w:before="100" w:beforeAutospacing="1" w:after="100" w:afterAutospacing="1"/>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6139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A6139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1399"/>
  </w:style>
  <w:style w:type="character" w:styleId="a4">
    <w:name w:val="Emphasis"/>
    <w:basedOn w:val="a0"/>
    <w:uiPriority w:val="20"/>
    <w:qFormat/>
    <w:rsid w:val="00A61399"/>
    <w:rPr>
      <w:i/>
      <w:iCs/>
    </w:rPr>
  </w:style>
  <w:style w:type="character" w:styleId="a5">
    <w:name w:val="Strong"/>
    <w:basedOn w:val="a0"/>
    <w:uiPriority w:val="22"/>
    <w:qFormat/>
    <w:rsid w:val="00A61399"/>
    <w:rPr>
      <w:b/>
      <w:bCs/>
    </w:rPr>
  </w:style>
</w:styles>
</file>

<file path=word/webSettings.xml><?xml version="1.0" encoding="utf-8"?>
<w:webSettings xmlns:r="http://schemas.openxmlformats.org/officeDocument/2006/relationships" xmlns:w="http://schemas.openxmlformats.org/wordprocessingml/2006/main">
  <w:divs>
    <w:div w:id="8317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3806</Characters>
  <Application>Microsoft Office Word</Application>
  <DocSecurity>0</DocSecurity>
  <Lines>31</Lines>
  <Paragraphs>8</Paragraphs>
  <ScaleCrop>false</ScaleCrop>
  <Company>Северодонецкие вести</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2016-09-01T07:48:00Z</dcterms:created>
  <dcterms:modified xsi:type="dcterms:W3CDTF">2016-09-01T07:48:00Z</dcterms:modified>
</cp:coreProperties>
</file>