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D8" w:rsidRPr="00E070D8" w:rsidRDefault="00E070D8" w:rsidP="00E070D8">
      <w:pPr>
        <w:shd w:val="clear" w:color="auto" w:fill="FFFFFF"/>
        <w:spacing w:after="60"/>
        <w:jc w:val="center"/>
        <w:outlineLvl w:val="1"/>
        <w:rPr>
          <w:rFonts w:ascii="Tahoma" w:eastAsia="Times New Roman" w:hAnsi="Tahoma" w:cs="Tahoma"/>
          <w:b/>
          <w:bCs/>
          <w:color w:val="4A4A4A"/>
          <w:sz w:val="31"/>
          <w:szCs w:val="31"/>
          <w:lang w:eastAsia="ru-RU"/>
        </w:rPr>
      </w:pPr>
      <w:r w:rsidRPr="00E070D8">
        <w:rPr>
          <w:rFonts w:ascii="Tahoma" w:eastAsia="Times New Roman" w:hAnsi="Tahoma" w:cs="Tahoma"/>
          <w:b/>
          <w:bCs/>
          <w:color w:val="4A4A4A"/>
          <w:sz w:val="31"/>
          <w:szCs w:val="31"/>
          <w:lang w:eastAsia="ru-RU"/>
        </w:rPr>
        <w:t>СЄВЄРОДОНЕЦЬКА МІСЬКА РАДА</w:t>
      </w:r>
    </w:p>
    <w:p w:rsidR="00E070D8" w:rsidRPr="00E070D8" w:rsidRDefault="00E070D8" w:rsidP="00E070D8">
      <w:pPr>
        <w:shd w:val="clear" w:color="auto" w:fill="FFFFFF"/>
        <w:spacing w:after="60"/>
        <w:jc w:val="center"/>
        <w:outlineLvl w:val="1"/>
        <w:rPr>
          <w:rFonts w:ascii="Tahoma" w:eastAsia="Times New Roman" w:hAnsi="Tahoma" w:cs="Tahoma"/>
          <w:b/>
          <w:bCs/>
          <w:color w:val="4A4A4A"/>
          <w:sz w:val="31"/>
          <w:szCs w:val="31"/>
          <w:lang w:eastAsia="ru-RU"/>
        </w:rPr>
      </w:pPr>
      <w:r w:rsidRPr="00E070D8">
        <w:rPr>
          <w:rFonts w:ascii="Tahoma" w:eastAsia="Times New Roman" w:hAnsi="Tahoma" w:cs="Tahoma"/>
          <w:b/>
          <w:bCs/>
          <w:color w:val="4A4A4A"/>
          <w:sz w:val="31"/>
          <w:szCs w:val="31"/>
          <w:lang w:eastAsia="ru-RU"/>
        </w:rPr>
        <w:t>ВИКОНАВЧИЙ КОМІТЕТ</w:t>
      </w:r>
    </w:p>
    <w:p w:rsidR="00E070D8" w:rsidRPr="00E070D8" w:rsidRDefault="00E070D8" w:rsidP="00E070D8">
      <w:pPr>
        <w:shd w:val="clear" w:color="auto" w:fill="FFFFFF"/>
        <w:spacing w:after="60"/>
        <w:jc w:val="center"/>
        <w:outlineLvl w:val="1"/>
        <w:rPr>
          <w:rFonts w:ascii="Tahoma" w:eastAsia="Times New Roman" w:hAnsi="Tahoma" w:cs="Tahoma"/>
          <w:b/>
          <w:bCs/>
          <w:color w:val="4A4A4A"/>
          <w:sz w:val="31"/>
          <w:szCs w:val="31"/>
          <w:lang w:eastAsia="ru-RU"/>
        </w:rPr>
      </w:pPr>
      <w:r w:rsidRPr="00E070D8">
        <w:rPr>
          <w:rFonts w:ascii="Tahoma" w:eastAsia="Times New Roman" w:hAnsi="Tahoma" w:cs="Tahoma"/>
          <w:b/>
          <w:bCs/>
          <w:color w:val="4A4A4A"/>
          <w:sz w:val="31"/>
          <w:szCs w:val="31"/>
          <w:lang w:eastAsia="ru-RU"/>
        </w:rPr>
        <w:t>РІШЕННЯ  №620</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„30” липня  2013 року</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м.Сєвєродонецьк</w:t>
      </w:r>
    </w:p>
    <w:p w:rsidR="00E070D8" w:rsidRPr="00E070D8" w:rsidRDefault="00E070D8" w:rsidP="00E070D8">
      <w:pPr>
        <w:shd w:val="clear" w:color="auto" w:fill="FFFFFF"/>
        <w:spacing w:after="60"/>
        <w:outlineLvl w:val="1"/>
        <w:rPr>
          <w:rFonts w:ascii="Tahoma" w:eastAsia="Times New Roman" w:hAnsi="Tahoma" w:cs="Tahoma"/>
          <w:b/>
          <w:bCs/>
          <w:color w:val="4A4A4A"/>
          <w:sz w:val="31"/>
          <w:szCs w:val="31"/>
          <w:lang w:eastAsia="ru-RU"/>
        </w:rPr>
      </w:pPr>
      <w:r w:rsidRPr="00E070D8">
        <w:rPr>
          <w:rFonts w:ascii="Tahoma" w:eastAsia="Times New Roman" w:hAnsi="Tahoma" w:cs="Tahoma"/>
          <w:b/>
          <w:bCs/>
          <w:color w:val="4A4A4A"/>
          <w:sz w:val="31"/>
          <w:szCs w:val="31"/>
          <w:lang w:eastAsia="ru-RU"/>
        </w:rPr>
        <w:t>Про деякі питання розміщення тимчасових споруд на території міста Сєвєродонецька</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Керуючись ст. 40, 59 Закону України “Про місцеве самоврядування в Україні”, Законом України «Про регулювання містобудівної діяльності», «Порядком розміщення тимчасових споруд для провадження підприємницької діяльності», затвердженим Наказом  Мінрегіону України від 21.10.2011 року № 244, враховуючи рішення виконкому міської ради №490 від 11.06.2013р. «Про затвердження проекту «Комплексна схема розміщення тимчасових споруд у м.Сєвєродонецьку, Луганської області», враховуючи пропозиції комісії по підготовці пропозицій по наданню земельних ділянок на території Сєвєродонецької міської ради, виконком міської ради</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w:t>
      </w:r>
    </w:p>
    <w:p w:rsidR="00E070D8" w:rsidRPr="00E070D8" w:rsidRDefault="00E070D8" w:rsidP="00E070D8">
      <w:pPr>
        <w:shd w:val="clear" w:color="auto" w:fill="FFFFFF"/>
        <w:spacing w:after="60"/>
        <w:outlineLvl w:val="2"/>
        <w:rPr>
          <w:rFonts w:ascii="Tahoma" w:eastAsia="Times New Roman" w:hAnsi="Tahoma" w:cs="Tahoma"/>
          <w:b/>
          <w:bCs/>
          <w:color w:val="4A4A4A"/>
          <w:sz w:val="29"/>
          <w:szCs w:val="29"/>
          <w:lang w:eastAsia="ru-RU"/>
        </w:rPr>
      </w:pPr>
      <w:r w:rsidRPr="00E070D8">
        <w:rPr>
          <w:rFonts w:ascii="Tahoma" w:eastAsia="Times New Roman" w:hAnsi="Tahoma" w:cs="Tahoma"/>
          <w:b/>
          <w:bCs/>
          <w:color w:val="4A4A4A"/>
          <w:sz w:val="29"/>
          <w:szCs w:val="29"/>
          <w:lang w:eastAsia="ru-RU"/>
        </w:rPr>
        <w:t>ВИРІШИВ:</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1. Відділу містобудування та архітектури провести аналіз розміщення існуючих стаціонарних тимчасових споруд для провадження підприємницької діяльності (кіосків та павільйонів) на відповідність Комплексній схемі розміщення тимчасових споруд у м.Сєвєродонецьку та відповідність зовнішнього вигляду тимчасових споруд сучасним архітектурним вимогам та нормам.</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При проведенні аналізу врахувати наступні вимоги:</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в разі розміщення стаціонарної тимчасової споруди для провадження підприємницької діяльності в охоронній зоні інженерних мереж вона повинна мати мобільну конструкцію для можливості термінового демонтажу тимчасової споруди при аварійній ситуації на інженерній мережі;</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зупинки громадського транспорту не повинні бути перевантажені тимчасовими спорудами для провадження підприємницької діяльності, на зупинках повинна бути розташована одна тимчасова споруда, або комплекс із двох тимчасових споруд, виконаний за єдиним проектом;</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-площа холодильного та іншого обладнання , що розміщується поряд з кіоском або павільйоном, не може перевищувати 25% площі кіоску або павільйону, при розміщенні стаціонарних тимчасових споруд в складі зупиночних комплексів холодильне та інше обладнання не повинно бути розміщено на посадочних площадках зупинки громадського транспорту та перетинати шляхи підходу до посадочних площадок.</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2. Результати проведеного аналізу затвердити рішенням виконкому міської ради.</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3. Відділу земельних відносин прийняти до відома результати аналізу проведеного відділом містобудування та архітектури. </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4.Відділу містобудування та архітектури, у відповідності до діючого законодавства, за зверненнями землекористувачів та власників існуючих стаціонарних тимчасових споруд , які відповідають Комплексній схемі, провести роботу по оформленню паспортів прив’язки тимчасових споруд .</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xml:space="preserve">           5. Відділу земельних відносин в додаткових угодах про поновлення договорів оренди землі під тимчасовими спорудами для провадження підприємницької діяльності зазначати необхідність оформлення паспорту прив’язки тимчасової споруди та приведення конструкції тимчасової споруди, </w:t>
      </w:r>
      <w:r w:rsidRPr="00E070D8">
        <w:rPr>
          <w:rFonts w:ascii="Tahoma" w:eastAsia="Times New Roman" w:hAnsi="Tahoma" w:cs="Tahoma"/>
          <w:color w:val="4A4A4A"/>
          <w:sz w:val="13"/>
          <w:szCs w:val="13"/>
          <w:lang w:eastAsia="ru-RU"/>
        </w:rPr>
        <w:lastRenderedPageBreak/>
        <w:t>зовнішнього вигляду та розташування споруди у відповідність до виданого відділом містобудування та архітектури паспорту прив’язки тимчасової споруди.</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6. Дане рішення підлягає оприлюдненню.</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7. Контроль за виконанням цього рішення покласти на заступника міського голови Кравченка В.Г.</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b/>
          <w:bCs/>
          <w:color w:val="4A4A4A"/>
          <w:sz w:val="13"/>
          <w:lang w:eastAsia="ru-RU"/>
        </w:rPr>
        <w:t>Міський голова                                                                                      В.В.Казаков</w:t>
      </w:r>
    </w:p>
    <w:p w:rsidR="00E070D8" w:rsidRPr="00E070D8" w:rsidRDefault="00E070D8" w:rsidP="00E070D8">
      <w:pPr>
        <w:shd w:val="clear" w:color="auto" w:fill="FFFFFF"/>
        <w:spacing w:after="180" w:line="360" w:lineRule="atLeast"/>
        <w:rPr>
          <w:rFonts w:ascii="Tahoma" w:eastAsia="Times New Roman" w:hAnsi="Tahoma" w:cs="Tahoma"/>
          <w:color w:val="4A4A4A"/>
          <w:sz w:val="13"/>
          <w:szCs w:val="13"/>
          <w:lang w:eastAsia="ru-RU"/>
        </w:rPr>
      </w:pPr>
      <w:r w:rsidRPr="00E070D8">
        <w:rPr>
          <w:rFonts w:ascii="Tahoma" w:eastAsia="Times New Roman" w:hAnsi="Tahoma" w:cs="Tahoma"/>
          <w:color w:val="4A4A4A"/>
          <w:sz w:val="13"/>
          <w:szCs w:val="13"/>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compat/>
  <w:rsids>
    <w:rsidRoot w:val="00E070D8"/>
    <w:rsid w:val="0087768C"/>
    <w:rsid w:val="00C62C0A"/>
    <w:rsid w:val="00E070D8"/>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E070D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70D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70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70D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070D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E070D8"/>
    <w:rPr>
      <w:b/>
      <w:bCs/>
    </w:rPr>
  </w:style>
</w:styles>
</file>

<file path=word/webSettings.xml><?xml version="1.0" encoding="utf-8"?>
<w:webSettings xmlns:r="http://schemas.openxmlformats.org/officeDocument/2006/relationships" xmlns:w="http://schemas.openxmlformats.org/wordprocessingml/2006/main">
  <w:divs>
    <w:div w:id="3710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Company>Северодонецкие вести</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2016-08-22T13:08:00Z</dcterms:created>
  <dcterms:modified xsi:type="dcterms:W3CDTF">2016-08-22T13:08:00Z</dcterms:modified>
</cp:coreProperties>
</file>