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B2" w:rsidRPr="00AE19B2" w:rsidRDefault="00AE19B2" w:rsidP="00AE19B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E19B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 МІСЬКА РАДА</w:t>
      </w:r>
    </w:p>
    <w:p w:rsidR="00AE19B2" w:rsidRPr="00AE19B2" w:rsidRDefault="00AE19B2" w:rsidP="00AE19B2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</w:t>
      </w:r>
    </w:p>
    <w:p w:rsidR="00AE19B2" w:rsidRPr="00AE19B2" w:rsidRDefault="00AE19B2" w:rsidP="00AE19B2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</w:t>
      </w:r>
      <w:r w:rsidRPr="00AE19B2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AE19B2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№208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«12» </w:t>
      </w:r>
      <w:proofErr w:type="spellStart"/>
      <w:r w:rsidRPr="00AE19B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березня</w:t>
      </w:r>
      <w:proofErr w:type="spellEnd"/>
      <w:r w:rsidRPr="00AE19B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AE19B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AE19B2" w:rsidRPr="00AE19B2" w:rsidRDefault="00AE19B2" w:rsidP="00AE19B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E19B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затвердження</w:t>
      </w:r>
      <w:r w:rsidRPr="00AE19B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E19B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Порядку</w:t>
      </w:r>
      <w:r w:rsidRPr="00AE19B2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AE19B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організації пасажирських перевезень</w:t>
      </w:r>
      <w:r w:rsidRPr="00AE19B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E19B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автобусному маршруті загального</w:t>
      </w:r>
      <w:r w:rsidRPr="00AE19B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E19B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користування </w:t>
      </w:r>
      <w:r w:rsidRPr="00AE19B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E19B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м. </w:t>
      </w:r>
      <w:proofErr w:type="spellStart"/>
      <w:r w:rsidRPr="00AE19B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AE19B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</w:t>
      </w:r>
      <w:r w:rsidRPr="00AE19B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E19B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який не має паспорта маршруту</w:t>
      </w:r>
    </w:p>
    <w:p w:rsidR="00AE19B2" w:rsidRPr="00AE19B2" w:rsidRDefault="00AE19B2" w:rsidP="00AE19B2">
      <w:pPr>
        <w:shd w:val="clear" w:color="auto" w:fill="FFFFFF"/>
        <w:spacing w:after="180" w:line="201" w:lineRule="atLeast"/>
        <w:ind w:right="513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ст.30 Закону України </w:t>
      </w:r>
      <w:proofErr w:type="spellStart"/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ст.ст. 6, 7, 14 Закону України </w:t>
      </w:r>
      <w:proofErr w:type="spellStart"/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автомобільний </w:t>
      </w:r>
      <w:proofErr w:type="spellStart"/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транспорт”</w:t>
      </w:r>
      <w:proofErr w:type="spellEnd"/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постановою Кабінету Міністрів України від 18.02.1997р. № 176 </w:t>
      </w:r>
      <w:proofErr w:type="spellStart"/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затвердження Правил надання послуг пасажирського автомобільного </w:t>
      </w:r>
      <w:proofErr w:type="spellStart"/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транспорту”</w:t>
      </w:r>
      <w:proofErr w:type="spellEnd"/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з метою забезпечення задоволення потреб населення у безпечних і якісних пасажирських перевезеннях автомобільними транспортними засобами та реалізації державної політики щодо розвитку мережі міських автобусних маршрутів загального користування, виконавчий комітет міської ради</w:t>
      </w:r>
    </w:p>
    <w:p w:rsidR="00AE19B2" w:rsidRPr="00AE19B2" w:rsidRDefault="00AE19B2" w:rsidP="00AE19B2">
      <w:pPr>
        <w:shd w:val="clear" w:color="auto" w:fill="FFFFFF"/>
        <w:spacing w:after="180" w:line="201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AE19B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AE19B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Затвердити Порядок організації пасажирських перевезень на автобусному маршруті загального користування м. </w:t>
      </w:r>
      <w:proofErr w:type="spellStart"/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який не має паспорта маршруту (Додаток).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AE19B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AE19B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Рішення виконкому підлягає оприлюдненню.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AE19B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AE19B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Контроль за виконанням цього рішення покласти на першого заступника міського голови </w:t>
      </w:r>
      <w:proofErr w:type="spellStart"/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Дядика</w:t>
      </w:r>
      <w:proofErr w:type="spellEnd"/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С.М.</w:t>
      </w:r>
    </w:p>
    <w:p w:rsidR="00AE19B2" w:rsidRPr="00AE19B2" w:rsidRDefault="00AE19B2" w:rsidP="00AE19B2">
      <w:pPr>
        <w:shd w:val="clear" w:color="auto" w:fill="FFFFFF"/>
        <w:spacing w:after="180" w:line="151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AE19B2" w:rsidRPr="00AE19B2" w:rsidRDefault="00AE19B2" w:rsidP="00AE19B2">
      <w:pPr>
        <w:shd w:val="clear" w:color="auto" w:fill="FFFFFF"/>
        <w:spacing w:after="180" w:line="151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AE19B2" w:rsidRPr="00AE19B2" w:rsidRDefault="00AE19B2" w:rsidP="00AE19B2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</w:t>
      </w:r>
      <w:r w:rsidRPr="00AE19B2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AE19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</w:t>
      </w:r>
      <w:r w:rsidRPr="00AE19B2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</w:t>
      </w:r>
      <w:r w:rsidRPr="00AE19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E19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В.В.Казаков</w:t>
      </w:r>
    </w:p>
    <w:p w:rsidR="00AE19B2" w:rsidRPr="00AE19B2" w:rsidRDefault="00AE19B2" w:rsidP="00AE19B2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left="61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FFFFFF"/>
          <w:sz w:val="10"/>
          <w:szCs w:val="10"/>
          <w:lang w:val="uk-UA" w:eastAsia="ru-RU"/>
        </w:rPr>
        <w:t> 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left="612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i/>
          <w:iCs/>
          <w:color w:val="4A4A4A"/>
          <w:sz w:val="10"/>
          <w:lang w:val="uk-UA" w:eastAsia="ru-RU"/>
        </w:rPr>
        <w:t>Додаток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left="612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i/>
          <w:iCs/>
          <w:color w:val="4A4A4A"/>
          <w:sz w:val="10"/>
          <w:lang w:val="uk-UA" w:eastAsia="ru-RU"/>
        </w:rPr>
        <w:t>до рішення виконкому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left="612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i/>
          <w:iCs/>
          <w:color w:val="4A4A4A"/>
          <w:sz w:val="10"/>
          <w:lang w:val="uk-UA" w:eastAsia="ru-RU"/>
        </w:rPr>
        <w:t>від 12.03.2013р. №208 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Порядок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 xml:space="preserve">організації пасажирських перевезень на автобусному маршруті загального користування м. </w:t>
      </w:r>
      <w:proofErr w:type="spellStart"/>
      <w:r w:rsidRPr="00AE19B2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Сєвєродонецьк</w:t>
      </w:r>
      <w:proofErr w:type="spellEnd"/>
      <w:r w:rsidRPr="00AE19B2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, який не має паспорта маршруту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1. Цей Порядок визначає процедуру організації пасажирських перевезень на міському автобусному маршруті загального користування, який не має паспорта маршруту, призначення тимчасового перевізника та оформлення документів для здійснення таких пасажирських перевезень.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Порядок є складовою частиною чинних нормативно-правових актів, що регулюють організацію пасажирських перевезень на міських автобусних маршрутах загального користування та застосовується як тимчасовий механізм надання послуг з перевезення пасажирів.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Порядок поширюється на автомобільних перевізників, які мають бажання обслуговувати такі маршрути.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4. Згідно цього Порядку Організатор пасажирських перевезень (виконавчий комітет </w:t>
      </w:r>
      <w:proofErr w:type="spellStart"/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ради) призначає тимчасового автомобільного перевізника на термін до чотирьох місяців, після чого за результатами функціонування маршруту приймає рішення щодо доцільності відкриття маршруту та проведення конкурсу з цією метою. До проведення конкурсу, визначення переможця конкурсу та укладання відповідного договору пасажирські перевезення здійснює тимчасовий перевізник.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5. Підставою для здійснення пасажирських перевезень на автобусному маршруті загального користування згідно з цим Порядком є рішення Організатора про призначення тимчасового автомобільного перевізника на міському автобусному маршруті загального користування.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6. У разі прийняття рішення про доцільність відкриття маршруту Організатор включає його до міської автобусної мережі.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7. Дотримання цього Порядку має забезпечувати: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AE19B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E19B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якісне задоволення потреб населення в перевезеннях автомобільним транспортом;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AE19B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E19B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безпечне функціонування автомобільного транспорту;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AE19B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E19B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координацію роботи різних видів міського пасажирського транспорту;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AE19B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E19B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захист прав громадян під час їх транспортного обслуговування.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8. Організація відкриття маршруту, який не має паспорту маршруту передбачає: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AE19B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E19B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обрання маршрут руху автобусів та розташування початкових і кінцевих зупинок маршруту;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AE19B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E19B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обстеження дорожніх умов і об’єктів інфраструктури;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AE19B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E19B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визначення виду перевезень та режиму руху автобусів;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AE19B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E19B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надання автобусів, які відповідають виду перевезень;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AE19B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E19B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вивчення пасажиропотоків на маршруті;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AE19B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E19B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надання автобусів таких типів, які відповідають виду перевезень;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AE19B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E19B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побудову розкладу руху;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AE19B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E19B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тариф на маршруті встановлюється відповідно до чинного на інших відповідних маршрутів;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AE19B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E19B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розроблення паспорта за результатами функціонування маршруту.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9. Розроблення та затвердження паспорта маршруту за результатами функціонування маршруту здійснюється згідно чинного законодавства України.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10. У разі невиконання тимчасовим автомобільним перевізником умов даного Порядку, Організатор має право скасувати своє рішення про призначення тимчасового автомобільного перевізника на міському автобусному маршруті загального користування. Скасування рішення є підставою для припинення здійснення перевезень тимчасовим автомобільним перевізником.   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11. Умови організації пасажирських перевезень: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11.1. Організатор має право: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11.1.1. Затверджувати графіки руху маршрутного пасажирського автотранспорту, схеми маршрутів, кінцеві пункти призначення маршрутів і т.п.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11.1.2. Переглядати схеми руху та розклад руху на маршруті у випадках необхідності покращення умов транспортного пасажирського обслуговування населення.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11.1.3. Призначити осіб, які мають право: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здійснювати контролю за дотримання даного Порядку тимчасовим перевізником, в тому числі із залученням відповідних міських служб;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перевіряти регулярність руху, забезпечення диспетчеризації, виконання обов’язків тимчасовим перевізником щодо створення належних санітарно-побутових умов для водіїв та лінійних працівників, рівень якості перевезення пасажирів та належну екіпіровку рухомого складу (наявність необхідної кількості трафаретів встановленого зразка; витягу із Правил надання послуг пасажирського автомобільного транспорту (у частині прав та обов'язків водія і пасажира); позначення </w:t>
      </w:r>
      <w:r w:rsidRPr="00AE19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входу та виходу; відомості про розмір штрафу за безквитковий проїзд </w:t>
      </w:r>
      <w:r w:rsidRPr="00AE19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і перевезення неоплаченого багажу; відомості про перевізника та страховика (найменування, адреса і телефон); загальну </w:t>
      </w:r>
      <w:proofErr w:type="spellStart"/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пасажиромісткість</w:t>
      </w:r>
      <w:proofErr w:type="spellEnd"/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із зазначенням місць для сидіння пасажирів; позначення місць розташування аварійних виходів, вогнегасника, аптечки; напис </w:t>
      </w:r>
      <w:proofErr w:type="spellStart"/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“Не</w:t>
      </w:r>
      <w:proofErr w:type="spellEnd"/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курити”</w:t>
      </w:r>
      <w:proofErr w:type="spellEnd"/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“Місця</w:t>
      </w:r>
      <w:proofErr w:type="spellEnd"/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для пасажирів з дітьми та </w:t>
      </w:r>
      <w:proofErr w:type="spellStart"/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інвалідів”</w:t>
      </w:r>
      <w:proofErr w:type="spellEnd"/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; наявність відомостей про перевезення пільгових категорій пасажирів, які користуються безкоштовним проїздом ), забезпечення зберігання рухомого складу на власних або орендованих територіях, проведенням </w:t>
      </w:r>
      <w:proofErr w:type="spellStart"/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передрейсового</w:t>
      </w:r>
      <w:proofErr w:type="spellEnd"/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(</w:t>
      </w:r>
      <w:proofErr w:type="spellStart"/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післярейсового</w:t>
      </w:r>
      <w:proofErr w:type="spellEnd"/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) технічного огляду транспортних засобів та проходження </w:t>
      </w:r>
      <w:proofErr w:type="spellStart"/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передрейсового</w:t>
      </w:r>
      <w:proofErr w:type="spellEnd"/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(</w:t>
      </w:r>
      <w:proofErr w:type="spellStart"/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післярейсового</w:t>
      </w:r>
      <w:proofErr w:type="spellEnd"/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) медичного огляду водіїв;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перевіряти автобуси на відповідність їх санітарно-технічним та експлуатаційним вимогам (чистота салону, наявність місць для сидіння, їх розташування та належний стан, освітлення салону, запасних виходів тощо), а також комплектацію автомобілів згідно вимог ДНАОП 1.28-97 та розділу 31 Правил дорожнього руху;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отримувати від тимчасового перевізника </w:t>
      </w:r>
      <w:r w:rsidRPr="00AE19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звіт про роботу пасажирського транспорту на маршрутах (кількість </w:t>
      </w:r>
      <w:proofErr w:type="spellStart"/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машиноднів</w:t>
      </w:r>
      <w:proofErr w:type="spellEnd"/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 господарстві та роботі, а також кількість виконаних рейсів, кількість перевезених пасажирів, регулярність руху тощо);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вимагати від тимчасового перевізника забезпечення регулярної роботи автобусів на маршрутах.           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AE19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11.2. Тимчасовий перевізник зобов’язаний: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AE19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AE19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мати необхідні документи для здійснення перевезень;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забезпечити дотримання персоналом вимог законодавства про автомобільний транспорт та законодавства із захисту прав споживачів;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здійснювати перевезення пасажирів за встановленими тарифами;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забезпечувати на міських маршрутах випуск необхідної кількості рухомого складу з регулярністю не менше 90 відсотків;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без бюджетної компенсації за свій рахунок забезпечити виконання певних зобов’язань, зокрема, перевезення 10% пільгових категорій пасажирів,: інвалідів Великої Вітчизняної війни; учасників бойових дій; інвалідів 1-ої групи; учасників війни; громадян, які постраждали внаслідок Чорнобильської катастрофи;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забезпечити перевезення пасажирів на автобусних маршрутах загального користування в режимі маршрутного таксі з обов’язковим наданням пасажирам місць для сидіння;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- надавати Організатору відомості про випуск рухомого складу, працюючого на маршрутах, звіт про роботу пасажирського транспорту на маршрутах (кількість </w:t>
      </w:r>
      <w:proofErr w:type="spellStart"/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машиноднів</w:t>
      </w:r>
      <w:proofErr w:type="spellEnd"/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 господарстві, кількість виконаних рейсів, кількість перевезених пасажирів, регулярність руху, кількість скоєних дорожньо-транспортних пригод, укомплектованість водіями) тощо;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- згідно чинного законодавства забезпечувати проведення щозмінного </w:t>
      </w:r>
      <w:proofErr w:type="spellStart"/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передрейсового</w:t>
      </w:r>
      <w:proofErr w:type="spellEnd"/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і </w:t>
      </w:r>
      <w:proofErr w:type="spellStart"/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післярейсового</w:t>
      </w:r>
      <w:proofErr w:type="spellEnd"/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медичного огляду водіїв з відповідними відмітками;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- забезпечити проведення щозмінного </w:t>
      </w:r>
      <w:proofErr w:type="spellStart"/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передрейсового</w:t>
      </w:r>
      <w:proofErr w:type="spellEnd"/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та </w:t>
      </w:r>
      <w:proofErr w:type="spellStart"/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післярейсового</w:t>
      </w:r>
      <w:proofErr w:type="spellEnd"/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контролю технічного та санітарного стану автобусів ;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 xml:space="preserve">- організувати обов’язкове зберігання рухомого складу на власних або орендованих територіях, забезпечувати захист транспортних засобів від використання без відома їх власників (користувачів) згідно ст. 25 Закону України </w:t>
      </w:r>
      <w:proofErr w:type="spellStart"/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автомобільний </w:t>
      </w:r>
      <w:proofErr w:type="spellStart"/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транспорт”</w:t>
      </w:r>
      <w:proofErr w:type="spellEnd"/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виключити можливість випадків зберігання транспортних засобів поза територією підприємства;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забезпечувати суворе дотримання водіями тимчасового перевізника Правил дорожнього руху, особливо в частині розташування транспортних засобів на проїзній частині, вимог щодо зупинки та стоянки транспортних засобів, особливо в місцях зупинок по маршруту руху, тощо: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забезпечувати наявність на транспортних засобах тимчасового перевізника талонів про проходження державного технічного огляду та їх відповідність встановленим термінам проведення державного технічного нагляду;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видавати водіям та іншим працівникам передбачені законом документи;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утримувати транспортні засоби в належному технічному та санітарному стані, забезпечувати їх своєчасну подачу для посадки пасажирів і відправлення;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здійснювати перевезення пасажирів з квитками і пасажирів, яким згідно із законодавством надано пільги щодо плати за проїзд;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надавати пасажирам достовірну і своєчасну інформацію про найменування зупинок;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сприяти Організатору у проведенні обстежень пасажиропотоків, удосконаленні мережі маршрутів загального користування, </w:t>
      </w:r>
      <w:r w:rsidRPr="00AE19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 тому числі у режимі маршрутного таксі;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у разі виникнення надзвичайних ситуацій техногенного та природного характеру у місті за рішенням Організатора виділяти до 80% рухомого складу для перевезення населення з метою його захисту. Компенсація </w:t>
      </w:r>
      <w:r w:rsidRPr="00AE19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збитків у таких випадках здійснюється в порядку, передбаченому законодавством;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сприяти особам, які призначені Організатором, у перевірках роботи автобусів на маршруті, випуску автомобілів на лінію виключно з місць зберігання транспортних засобів відповідно до договору оренди або власного автогосподарства, стану вулиць і доріг, по яких прокладені маршрути, освітлення та обладнання зупинок, забезпечення безпеки перевезень пасажирів тощо;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без згоди Організатора не змінювати марки, моделі та кількості рухомого складу на маршруті;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здійснювати перевезення пасажирів з використанням сертифікованих транспортних засобів відповідного типу, на які оформлені документи згідно із </w:t>
      </w:r>
      <w:r w:rsidRPr="00AE19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законодавством</w:t>
      </w:r>
      <w:r w:rsidRPr="00AE19B2">
        <w:rPr>
          <w:rFonts w:ascii="Tahoma" w:eastAsia="Times New Roman" w:hAnsi="Tahoma" w:cs="Tahoma"/>
          <w:color w:val="4A4A4A"/>
          <w:spacing w:val="-14"/>
          <w:sz w:val="10"/>
          <w:szCs w:val="10"/>
          <w:lang w:val="uk-UA" w:eastAsia="ru-RU"/>
        </w:rPr>
        <w:t>;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забезпечувати виконання чинного законодавства України щодо тривалості робочого часу та відпочинку працівників, страхування водіїв, кондукторів та транспортних засобів від нещасних випадків і дорожньо-транспортних пригод, та своєчасної і повної сплати заробітної плати, всіх обов’язкових податків і зборів. Дотримуватись умов галузевої та регіональної угод по оплаті праці найманих працівників;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забезпечувати пасажирам безпечну поїздку, у тому числі їх страхування у відповідності до вимог чинного законодавства;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забезпечувати розміщення на автобусах та у їх салонах інформації відповідно до вимог чинного законодавства України;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організовувати проїзд пасажирів до місця призначення за маршрутом без додаткових фінансових витрат пасажирів, насамперед осіб з особливими потребами, у разі припинення поїздки через технічну несправність транспортного засобу чи настання надзвичайної або невідтворної за даних умов події;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у разі заподіяння шкоди третім особам, відшкодувати її згідно чинного законодавства України;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забезпечувати продаж пасажирам квитків;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на кінцевих зупинках створити належні санітарно-побутові умови для водіїв та лінійних працівників;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виконувати вимоги Правил надання послуг пасажирського автомобільного транспорту;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не передоручати виконання своїх обов’язків по перевезенню пасажирів на маршрутах, які надані на обслуговування, </w:t>
      </w:r>
      <w:r w:rsidRPr="00AE19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іншій особі;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- не використовувати рухомий склад, що належить іншій особі, без укладання відповідного договору на користування цим рухомим складом;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не залучати до роботи на маршруті водіїв, які не мають стаж керування транспортними засобами більш трьох років (посвідчення водія категорії «Д»), а також інших працівників без дотримання вимог трудового законодавства України щодо прийняття на роботу, захисту трудових прав та соціальних гарантій;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надавати Організатору або особам, які призначені Організатором, необхідну інформацію та документи щодо виконання даного Порядку;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у разі зміни будь-яких обставин щодо організації пасажирських перевезень та їх безпеки повідомити Організатора </w:t>
      </w:r>
      <w:r w:rsidRPr="00AE19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 термін, </w:t>
      </w:r>
      <w:r w:rsidRPr="00AE19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що не перевищує два робочих дні.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Керуючий справами виконкому                                                Л.Ф. Єфименко</w:t>
      </w:r>
    </w:p>
    <w:p w:rsidR="00AE19B2" w:rsidRPr="00AE19B2" w:rsidRDefault="00AE19B2" w:rsidP="00AE19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19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AE19B2"/>
    <w:rsid w:val="008C7D2E"/>
    <w:rsid w:val="00AE19B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E19B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19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E19B2"/>
  </w:style>
  <w:style w:type="paragraph" w:styleId="21">
    <w:name w:val="Body Text 2"/>
    <w:basedOn w:val="a"/>
    <w:link w:val="22"/>
    <w:uiPriority w:val="99"/>
    <w:semiHidden/>
    <w:unhideWhenUsed/>
    <w:rsid w:val="00AE19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E1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19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E19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E1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E19B2"/>
    <w:rPr>
      <w:i/>
      <w:iCs/>
    </w:rPr>
  </w:style>
  <w:style w:type="character" w:styleId="a7">
    <w:name w:val="Strong"/>
    <w:basedOn w:val="a0"/>
    <w:uiPriority w:val="22"/>
    <w:qFormat/>
    <w:rsid w:val="00AE19B2"/>
    <w:rPr>
      <w:b/>
      <w:bCs/>
    </w:rPr>
  </w:style>
  <w:style w:type="paragraph" w:customStyle="1" w:styleId="31">
    <w:name w:val="31"/>
    <w:basedOn w:val="a"/>
    <w:rsid w:val="00AE19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1918</Words>
  <Characters>10939</Characters>
  <Application>Microsoft Office Word</Application>
  <DocSecurity>0</DocSecurity>
  <Lines>91</Lines>
  <Paragraphs>25</Paragraphs>
  <ScaleCrop>false</ScaleCrop>
  <Company>Северодонецкие вести</Company>
  <LinksUpToDate>false</LinksUpToDate>
  <CharactersWithSpaces>12832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2016-07-28T12:29:00Z</dcterms:created>
  <dcterms:modified xsi:type="dcterms:W3CDTF">2016-07-28T12:30:00Z</dcterms:modified>
</cp:coreProperties>
</file>