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A" w:rsidRDefault="00961EA1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512FEA" w:rsidRDefault="00961EA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512FEA" w:rsidRDefault="00961EA1">
      <w:pPr>
        <w:pStyle w:val="ab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Шістдесят п</w:t>
      </w:r>
      <w:r>
        <w:rPr>
          <w:rFonts w:ascii="Times New Roman" w:hAnsi="Times New Roman"/>
          <w:b/>
          <w:sz w:val="28"/>
          <w:szCs w:val="28"/>
          <w:lang w:val="uk-UA"/>
        </w:rPr>
        <w:t>'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ята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(позачергова) сесія</w:t>
      </w:r>
    </w:p>
    <w:p w:rsidR="00512FEA" w:rsidRDefault="00512FEA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Pr="00961EA1" w:rsidRDefault="00961EA1">
      <w:pPr>
        <w:spacing w:after="0" w:line="48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ШЕННЯ№  3716</w:t>
      </w:r>
    </w:p>
    <w:p w:rsidR="00512FEA" w:rsidRPr="00961EA1" w:rsidRDefault="00961EA1">
      <w:pPr>
        <w:pStyle w:val="ab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«12»  червня 2019 року</w:t>
      </w:r>
    </w:p>
    <w:p w:rsidR="00512FEA" w:rsidRDefault="00961EA1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512FEA" w:rsidRDefault="00512FEA">
      <w:pPr>
        <w:pStyle w:val="ab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38-ї (позачергової) сесії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сьомого скликання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30.01.2018 року № 2126 «Про затвердження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цільової програми «Проведення культурних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заходів присвячених урочистим датам, державним  і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традиційним народним святам» міста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2018 рік  </w:t>
      </w:r>
    </w:p>
    <w:p w:rsidR="00512FEA" w:rsidRDefault="00512FEA">
      <w:pPr>
        <w:pStyle w:val="ab"/>
        <w:rPr>
          <w:rFonts w:ascii="Times New Roman" w:hAnsi="Times New Roman"/>
          <w:sz w:val="16"/>
          <w:szCs w:val="16"/>
        </w:rPr>
      </w:pPr>
    </w:p>
    <w:p w:rsidR="00512FEA" w:rsidRDefault="00961EA1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ст.26 Закону України «Про місцеве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 та розглянувши хід виконання рішення 38-ї (позачергової) сесії Сєвєродонецької міської ради сьомого скликання від 30.01.2018 року № 2126 «Про затвердження міської цільової програми «Проведення культурних заходів присвячених урочис</w:t>
      </w:r>
      <w:r>
        <w:rPr>
          <w:rFonts w:ascii="Times New Roman" w:hAnsi="Times New Roman"/>
          <w:sz w:val="24"/>
          <w:szCs w:val="24"/>
          <w:lang w:val="uk-UA"/>
        </w:rPr>
        <w:t xml:space="preserve">тим датам, державним  і традиційним народним святам» міста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2018 рік, розглянувши хід виконання рішення міська рада</w:t>
      </w:r>
    </w:p>
    <w:p w:rsidR="00512FEA" w:rsidRDefault="00512FEA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FEA" w:rsidRDefault="00961EA1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Інформацію про хід виконання рішення 38-ї (позачергової) сесії Сєвєродонецької міської ради сьомого скликання </w:t>
      </w:r>
      <w:r>
        <w:rPr>
          <w:rFonts w:ascii="Times New Roman" w:hAnsi="Times New Roman"/>
          <w:sz w:val="24"/>
          <w:szCs w:val="24"/>
          <w:lang w:val="uk-UA"/>
        </w:rPr>
        <w:t xml:space="preserve">від 30.01.2018 року № 2126 «Про затвердження міської цільової програми «Проведення культурних заходів присвячених урочистим датам, державним  і традиційним народним святам» міста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2018 рік прийняти до відома (Додаток).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 Дане рішення підл</w:t>
      </w:r>
      <w:r>
        <w:rPr>
          <w:rFonts w:ascii="Times New Roman" w:hAnsi="Times New Roman"/>
          <w:sz w:val="24"/>
          <w:szCs w:val="24"/>
          <w:lang w:val="uk-UA"/>
        </w:rPr>
        <w:t>ягає оприлюдненню.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рішення покласти на постійну комісію з питань планування бюджету та фінансів (І.М.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Буткова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), охорони здоров’я та соціального захисту населення, культури, духовності, фізкультури, спорту, молодіжної політик</w:t>
      </w:r>
      <w:r>
        <w:rPr>
          <w:rFonts w:ascii="Times New Roman" w:hAnsi="Times New Roman"/>
          <w:sz w:val="24"/>
          <w:szCs w:val="24"/>
          <w:lang w:val="uk-UA"/>
        </w:rPr>
        <w:t>и (С.А.Войтенко).</w:t>
      </w:r>
    </w:p>
    <w:p w:rsidR="00512FEA" w:rsidRDefault="00512FEA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12FEA" w:rsidRDefault="00512F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FEA" w:rsidRDefault="00961EA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512FEA" w:rsidRDefault="00961EA1" w:rsidP="00961EA1">
      <w:pPr>
        <w:pStyle w:val="ab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 міського голови                                                                                     В. П. Ткачук</w:t>
      </w:r>
    </w:p>
    <w:p w:rsidR="00512FEA" w:rsidRDefault="00512FEA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12FEA" w:rsidRDefault="00512FEA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890" w:type="dxa"/>
        <w:tblLook w:val="04A0"/>
      </w:tblPr>
      <w:tblGrid>
        <w:gridCol w:w="7622"/>
        <w:gridCol w:w="2268"/>
      </w:tblGrid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Голова постійної комісії з питань охорони                                                 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здоров’я та со</w:t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ціального захисту населення,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культури, духовності, фізкультури, спорту,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молодіжної політики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С. А. Войтенко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Голова постійної комісії з питань планування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бюджету та фінансів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І. М.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Бутков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міськфінуправління                                       </w:t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                                                             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та контролю міської ради   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Рудь</w:t>
            </w:r>
            <w:proofErr w:type="spellEnd"/>
          </w:p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</w:tr>
    </w:tbl>
    <w:p w:rsidR="00512FEA" w:rsidRDefault="00961EA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512FEA" w:rsidRPr="00961EA1" w:rsidRDefault="00961EA1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до рішення  65-ї (позачергової) сесії  </w:t>
      </w:r>
    </w:p>
    <w:p w:rsidR="00512FEA" w:rsidRDefault="00961E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</w:p>
    <w:p w:rsidR="00512FEA" w:rsidRDefault="00961E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сьомого скликання</w:t>
      </w:r>
    </w:p>
    <w:p w:rsidR="00512FEA" w:rsidRPr="00961EA1" w:rsidRDefault="00961EA1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 «12»  червня 2019 року № 3716</w:t>
      </w:r>
    </w:p>
    <w:p w:rsidR="00512FEA" w:rsidRDefault="00961EA1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512FEA" w:rsidRDefault="00512FEA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512FEA" w:rsidRDefault="00512FEA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ЩОРІЧНИЙ ЗВІТ</w:t>
      </w: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хід виконання у 2018 році рішення 38-ї (позачергової) сесії</w:t>
      </w: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 міської  ради сьомого скликання від 30.01.2018 року № 2126 «Про затвердже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ння Міської цільової програми «Проведення культурних заходів присвячених урочистим датам, державним і традиційним народним святам 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 2018 рік»</w:t>
      </w:r>
    </w:p>
    <w:p w:rsidR="00512FEA" w:rsidRDefault="00512FEA">
      <w:pPr>
        <w:tabs>
          <w:tab w:val="left" w:pos="3868"/>
        </w:tabs>
        <w:spacing w:after="0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512FEA" w:rsidRDefault="00961EA1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1.Основні дані.</w:t>
      </w:r>
    </w:p>
    <w:p w:rsidR="00512FEA" w:rsidRDefault="00512FEA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передбачає комплекс заходів, які забезпечують виконання Конституції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України, Законів України: "Про Державні цільові програми", "Про культуру", "Про бібліотеки і бібліотечну справу", "Про театри і театральну справу", "Про охорону культурної спадщини", "Про народні художні промисли", "Про обов'язковий примірник документів", </w:t>
      </w:r>
      <w:r>
        <w:rPr>
          <w:rFonts w:ascii="Times New Roman" w:hAnsi="Times New Roman"/>
          <w:sz w:val="28"/>
          <w:szCs w:val="28"/>
          <w:lang w:val="uk-UA"/>
        </w:rPr>
        <w:t>"Про захист суспільної моралі", "Про гастрольні заходи в Україні", "Про професійних творчих працівників та творчі спілки", "Про позашкільну освіту", "Про місцеве самоврядування в Україні", "Про інформацію", "Про Національну програму інформатизації", "Про а</w:t>
      </w:r>
      <w:r>
        <w:rPr>
          <w:rFonts w:ascii="Times New Roman" w:hAnsi="Times New Roman"/>
          <w:sz w:val="28"/>
          <w:szCs w:val="28"/>
          <w:lang w:val="uk-UA"/>
        </w:rPr>
        <w:t xml:space="preserve">вторське право і суміжні права" та Закону України «Про державне прогнозування та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розроблення програм  економічного і соціального розвитку України»</w:t>
      </w:r>
      <w:r>
        <w:rPr>
          <w:rFonts w:ascii="Times New Roman" w:hAnsi="Times New Roman"/>
          <w:sz w:val="28"/>
          <w:szCs w:val="28"/>
          <w:lang w:val="uk-UA"/>
        </w:rPr>
        <w:t>, Бюджетний кодекс України, указ Президента України від 30 вересня 2010 року № 927 «Про заходи щодо розвитку с</w:t>
      </w:r>
      <w:r>
        <w:rPr>
          <w:rFonts w:ascii="Times New Roman" w:hAnsi="Times New Roman"/>
          <w:sz w:val="28"/>
          <w:szCs w:val="28"/>
          <w:lang w:val="uk-UA"/>
        </w:rPr>
        <w:t xml:space="preserve">истеми виявлення та підтримки обдарованих і талановитих дітей та молоді»,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>постанов Кабінету Міністрів України.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сьогодні культурні потреби населення міста  задовольняють 1 Міський палац культури (2 філії палацу культури: Селище Борівське та селище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Сиротіне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4 школи естетичного виховання (2 музичні школи, 1 художня школа,1 школа мистецтв), 4 бібліотеки (2 філії бібліотек), 1 галерея мистецтв які складають мережу відділу культури Сєвєродонецької міської ради Луганської області.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базі чотирьох шкіл </w:t>
      </w:r>
      <w:r>
        <w:rPr>
          <w:rFonts w:ascii="Times New Roman" w:hAnsi="Times New Roman"/>
          <w:sz w:val="28"/>
          <w:szCs w:val="28"/>
          <w:lang w:val="uk-UA"/>
        </w:rPr>
        <w:t>естетичного виховання здобувають початкову мистецьку освіту близько1000учнів, багато з яких займають призові місця на різноманітних фестивалях та конкурсах виконавської майстерності. Бібліотеками міста користується понад30 тисяч мешканців міста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 рік пра</w:t>
      </w:r>
      <w:r>
        <w:rPr>
          <w:rFonts w:ascii="Times New Roman" w:hAnsi="Times New Roman"/>
          <w:sz w:val="28"/>
          <w:szCs w:val="28"/>
          <w:lang w:val="uk-UA"/>
        </w:rPr>
        <w:t xml:space="preserve">цівниками бібліотек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проводитьсяпонад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500 масових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заходівдля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різних категорій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населення.Галерею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мистецтв відвідують понад 20 тисяч мешканців міста та регіону на рік. На базі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міського палацу культури  працює 21 колектив художньої самод</w:t>
      </w:r>
      <w:r>
        <w:rPr>
          <w:rFonts w:ascii="Times New Roman" w:hAnsi="Times New Roman"/>
          <w:sz w:val="28"/>
          <w:szCs w:val="28"/>
          <w:lang w:val="uk-UA"/>
        </w:rPr>
        <w:t xml:space="preserve">іяльності, з них 5 має звання «народний» та  2  має звання «зразковий» аматорський колектив, в 21 колективі займається 859 учасників з них дітей 585  учасників.  </w:t>
      </w:r>
    </w:p>
    <w:p w:rsidR="00512FEA" w:rsidRDefault="00512FE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FEA" w:rsidRDefault="00961EA1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Основними напрямками розв’язання проблем програми “ Проведення культурних заходів присвячени</w:t>
      </w:r>
      <w:r>
        <w:rPr>
          <w:rFonts w:ascii="Times New Roman" w:hAnsi="Times New Roman"/>
          <w:sz w:val="28"/>
          <w:szCs w:val="28"/>
          <w:lang w:val="uk-UA"/>
        </w:rPr>
        <w:t>х урочистим датам та державним святам ” є: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створення умов для надання якісної культурної програми;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рівних можливостей у її отриманні;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дотримання державних стандартів в галузі культури;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підняття статусу культурних програм;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сприяння </w:t>
      </w:r>
      <w:r>
        <w:rPr>
          <w:rFonts w:ascii="Times New Roman" w:hAnsi="Times New Roman"/>
          <w:sz w:val="28"/>
          <w:szCs w:val="28"/>
          <w:lang w:val="uk-UA"/>
        </w:rPr>
        <w:t>підготовки кваліфікованих кадрів які приймають участь у культурних заходах;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залучення до культурних заходів широких верств населення.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Головною метою Програми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2017 році є посилення підтримки культури в місті, підвищення її ролі у ро</w:t>
      </w:r>
      <w:r>
        <w:rPr>
          <w:rFonts w:ascii="Times New Roman" w:hAnsi="Times New Roman"/>
          <w:sz w:val="28"/>
          <w:szCs w:val="28"/>
          <w:lang w:val="uk-UA"/>
        </w:rPr>
        <w:t>звитку демократичного громадянського суспільства, створення сприятливих умов для розвитку культурних і творчих ініціатив громади з урахуванням місцевих особливостей, збереження національно-культурної спадщини, збереження та розвиток закладів культури.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Засо</w:t>
      </w:r>
      <w:r>
        <w:rPr>
          <w:rFonts w:ascii="Times New Roman" w:hAnsi="Times New Roman"/>
          <w:sz w:val="28"/>
          <w:szCs w:val="28"/>
          <w:lang w:val="uk-UA"/>
        </w:rPr>
        <w:t xml:space="preserve">бом проведення такої політики є «Міська цільова програма «Проведення культурних заходів присвячених урочистим датам, державним і традиційним народним святам»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2018 рік (далі-Програма), яку затверджено рішенням 38-ї (позачергової) сесі</w:t>
      </w:r>
      <w:r>
        <w:rPr>
          <w:rFonts w:ascii="Times New Roman" w:hAnsi="Times New Roman"/>
          <w:sz w:val="28"/>
          <w:szCs w:val="28"/>
          <w:lang w:val="uk-UA"/>
        </w:rPr>
        <w:t xml:space="preserve">ї Сєвєродонецької міської ради сьомого скликання від 30.01.2018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року№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2126</w:t>
      </w:r>
      <w:r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 xml:space="preserve">іська цільова програма «Про проведення культурних заходів присвячених урочистим датам, державним  і традиційним народним святам»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2018 рік».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 Програ</w:t>
      </w:r>
      <w:r>
        <w:rPr>
          <w:rFonts w:ascii="Times New Roman" w:hAnsi="Times New Roman"/>
          <w:sz w:val="28"/>
          <w:szCs w:val="28"/>
          <w:lang w:val="uk-UA"/>
        </w:rPr>
        <w:t>ми – відділ культури Сєвєродонецької міської ради.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Строки виконання Програми 2018 рік.</w:t>
      </w:r>
    </w:p>
    <w:p w:rsidR="00512FEA" w:rsidRDefault="00512FEA">
      <w:pPr>
        <w:tabs>
          <w:tab w:val="left" w:pos="3868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Виконання завдань і заходів.</w:t>
      </w:r>
    </w:p>
    <w:p w:rsidR="00512FEA" w:rsidRDefault="00512FEA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Програми є створення фінансових та організаційних умов для подальшого розвитку культурно-мистецької сфери міста це необхідно для </w:t>
      </w:r>
      <w:r>
        <w:rPr>
          <w:rFonts w:ascii="Times New Roman" w:hAnsi="Times New Roman"/>
          <w:sz w:val="28"/>
          <w:szCs w:val="28"/>
          <w:lang w:val="uk-UA"/>
        </w:rPr>
        <w:t>інтелектуального та духовного розвитку підростаючого покоління, рівних можливостей.</w:t>
      </w:r>
    </w:p>
    <w:p w:rsidR="00512FEA" w:rsidRDefault="00961EA1">
      <w:pPr>
        <w:tabs>
          <w:tab w:val="left" w:pos="3868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збереження культурного надбання країни;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створення умов для проведенні соціально-важливих культурно-мистецьких заходів;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сприяння реалі</w:t>
      </w:r>
      <w:r>
        <w:rPr>
          <w:rFonts w:ascii="Times New Roman" w:hAnsi="Times New Roman"/>
          <w:sz w:val="28"/>
          <w:szCs w:val="28"/>
          <w:lang w:val="uk-UA"/>
        </w:rPr>
        <w:t>зації творчого потенціалу населення в інтересах самореалізації, створенню умов для  творчої діяльності в різних сферах суспільного життя;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проведення культурно-масових заходів з нагоди відзначення державних та професійних свят, оглядів народної творчості,</w:t>
      </w:r>
      <w:r>
        <w:rPr>
          <w:rFonts w:ascii="Times New Roman" w:hAnsi="Times New Roman"/>
          <w:sz w:val="28"/>
          <w:szCs w:val="28"/>
          <w:lang w:val="uk-UA"/>
        </w:rPr>
        <w:t xml:space="preserve"> фестивалів, конкурсів, шоу-програм для задоволення інтелектуальних та духовних потреб населення;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поліпшення умов творчої діяльності майстрів мистецтв, народних умільців, аматорів народного мистецтва, працівників культури.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формування моральної, </w:t>
      </w:r>
      <w:r>
        <w:rPr>
          <w:rFonts w:ascii="Times New Roman" w:hAnsi="Times New Roman"/>
          <w:sz w:val="28"/>
          <w:szCs w:val="28"/>
          <w:lang w:val="uk-UA"/>
        </w:rPr>
        <w:t>духовної культури населення на кращих зразках українського та світового мистецтва;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підтримка діяльності дитячих, молодіжних громадських організацій, спрямованих на розвиток народної творчості.</w:t>
      </w:r>
    </w:p>
    <w:p w:rsidR="00512FEA" w:rsidRDefault="00512FE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FEA" w:rsidRDefault="00512FE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FEA" w:rsidRDefault="00961E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Оцінка ефективності виконання.</w:t>
      </w:r>
    </w:p>
    <w:p w:rsidR="00512FEA" w:rsidRDefault="00512FEA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Створені умови для ін</w:t>
      </w:r>
      <w:r>
        <w:rPr>
          <w:rFonts w:ascii="Times New Roman" w:hAnsi="Times New Roman"/>
          <w:sz w:val="28"/>
          <w:szCs w:val="28"/>
          <w:lang w:val="uk-UA"/>
        </w:rPr>
        <w:t>телектуального самовдосконалення молоді, творчого розвитку особистості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Збільшується утвердження патріотизму, духовності, моральності та формування загальнолюдських цінностей.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Створено сприятливе середовище для забезпечення зайнятості молоді в </w:t>
      </w:r>
      <w:r>
        <w:rPr>
          <w:rFonts w:ascii="Times New Roman" w:hAnsi="Times New Roman"/>
          <w:sz w:val="28"/>
          <w:szCs w:val="28"/>
          <w:lang w:val="uk-UA"/>
        </w:rPr>
        <w:t>культурних заходах.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Протягом року велась пропаганда та формування здорового способу життя.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 Була надана підтримка молодіжним і дитячим громадським організаціям в проведенні їх культурних заходів.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Була організоване організаційне, науково-методичне т</w:t>
      </w:r>
      <w:r>
        <w:rPr>
          <w:rFonts w:ascii="Times New Roman" w:hAnsi="Times New Roman"/>
          <w:sz w:val="28"/>
          <w:szCs w:val="28"/>
          <w:lang w:val="uk-UA"/>
        </w:rPr>
        <w:t>а інформаційне сприяння здійсненню державної молодіжної політики.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Проведено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45 заходів , які було необхідно провести для виконання завдання Програми.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Більш масштабними заходами були (кількість відвідувачів більше 1 тисячі чоловік):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Міські заходи, прис</w:t>
      </w:r>
      <w:r>
        <w:rPr>
          <w:rFonts w:ascii="Times New Roman" w:hAnsi="Times New Roman"/>
          <w:sz w:val="28"/>
          <w:szCs w:val="28"/>
          <w:lang w:val="uk-UA"/>
        </w:rPr>
        <w:t>вячені новорічним та різдвяним святам (цикл заходів починаючи з дня Святого Миколая і закінчуючи Старим новим роком);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народному святу «Масляна»;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Міжнародному жіночому Дню 8 березня;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</w:t>
      </w:r>
      <w:r>
        <w:rPr>
          <w:rFonts w:ascii="Times New Roman" w:hAnsi="Times New Roman"/>
          <w:sz w:val="28"/>
          <w:szCs w:val="28"/>
          <w:lang w:val="uk-UA"/>
        </w:rPr>
        <w:t>рисвячені міському етапу обласного фестивалю дитячої та юнацької творчості «Діти – майбутнє України»;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випускному вечору учнів 11-х класів загальноосвітніх навчальних закладів;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Міські заходи, присвячені 73-й річниці  Перемоги </w:t>
      </w:r>
      <w:r>
        <w:rPr>
          <w:rFonts w:ascii="Times New Roman" w:hAnsi="Times New Roman"/>
          <w:sz w:val="28"/>
          <w:szCs w:val="28"/>
          <w:lang w:val="uk-UA"/>
        </w:rPr>
        <w:t>над нацизмом у Європі, Дню пам’яті та примирення, Дню Перемоги (9 травня);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Міські заходи, присвячені 84-й річниці від Дня заснування 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Дню хіміка;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Міські заходи, присвячені Дню миротворця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Peace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LoveandHappiness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" (Мир, Любов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Щастя) на підтримку волонтерського руху й благодійності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(музичний фестиваль)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Міські заходи, присвячені 4-й річниці визволення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незаконних збройних формувань;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27-й річниці незалежності України;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Міські </w:t>
      </w:r>
      <w:r>
        <w:rPr>
          <w:rFonts w:ascii="Times New Roman" w:hAnsi="Times New Roman"/>
          <w:sz w:val="28"/>
          <w:szCs w:val="28"/>
          <w:lang w:val="uk-UA"/>
        </w:rPr>
        <w:t xml:space="preserve">заходи, присвячені Дню Захисника України та Дню українського козацтва.    </w:t>
      </w:r>
    </w:p>
    <w:p w:rsidR="00512FEA" w:rsidRDefault="00961EA1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Забезпечено матеріально-технічну базу за рахунок міського бюджету, а саме:</w:t>
      </w:r>
    </w:p>
    <w:p w:rsidR="00512FEA" w:rsidRDefault="00961EA1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1)Придбання предметів і матеріалів для проведення заходів, подарунків, квіт, цукерок для пригощання на </w:t>
      </w:r>
      <w:r>
        <w:rPr>
          <w:rFonts w:ascii="Times New Roman" w:hAnsi="Times New Roman"/>
          <w:i/>
          <w:sz w:val="28"/>
          <w:szCs w:val="28"/>
          <w:lang w:val="uk-UA"/>
        </w:rPr>
        <w:t>загальну суму – 1 082 845,48 грн.</w:t>
      </w:r>
    </w:p>
    <w:p w:rsidR="00512FEA" w:rsidRDefault="00961EA1">
      <w:pPr>
        <w:pStyle w:val="aa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2) Виконані послуги з озвучення та освітлення, охорони, по перевезенню, з організації святкового пригощання містян та прикрашання заходів  на загальну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суму–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1 042 399,13 грн.</w:t>
      </w:r>
    </w:p>
    <w:p w:rsidR="00512FEA" w:rsidRDefault="00961EA1">
      <w:pPr>
        <w:pStyle w:val="ab"/>
        <w:ind w:firstLine="567"/>
        <w:rPr>
          <w:rFonts w:ascii="Times New Roman" w:eastAsia="Arial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8. Кількість населення  яка приймала участь у з</w:t>
      </w:r>
      <w:r>
        <w:rPr>
          <w:rFonts w:ascii="Times New Roman" w:hAnsi="Times New Roman"/>
          <w:sz w:val="28"/>
          <w:szCs w:val="28"/>
          <w:lang w:val="uk-UA"/>
        </w:rPr>
        <w:t xml:space="preserve">аходах приблизно </w:t>
      </w:r>
      <w:r>
        <w:rPr>
          <w:rFonts w:ascii="Times New Roman" w:eastAsia="Arial" w:hAnsi="Times New Roman"/>
          <w:sz w:val="28"/>
          <w:szCs w:val="28"/>
          <w:lang w:val="uk-UA" w:eastAsia="ar-SA"/>
        </w:rPr>
        <w:t>300 000 чоловік.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Дані показники дають можливість побачити динаміку збільшення кількості відвідувачів у порівнянні с запланованими показниками та складають 101,9% (</w:t>
      </w:r>
      <w:r>
        <w:rPr>
          <w:rFonts w:ascii="Times New Roman" w:eastAsia="Arial" w:hAnsi="Times New Roman"/>
          <w:sz w:val="28"/>
          <w:szCs w:val="28"/>
          <w:lang w:val="uk-UA" w:eastAsia="ar-SA"/>
        </w:rPr>
        <w:t xml:space="preserve">кількість відвідувачів за програмою) – </w:t>
      </w:r>
      <w:r>
        <w:rPr>
          <w:rFonts w:ascii="Times New Roman" w:hAnsi="Times New Roman"/>
          <w:sz w:val="28"/>
          <w:szCs w:val="28"/>
          <w:lang w:val="uk-UA"/>
        </w:rPr>
        <w:t>279200 чоловік;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Проведено роботу з</w:t>
      </w:r>
      <w:r>
        <w:rPr>
          <w:rFonts w:ascii="Times New Roman" w:hAnsi="Times New Roman"/>
          <w:sz w:val="28"/>
          <w:szCs w:val="28"/>
          <w:lang w:val="uk-UA"/>
        </w:rPr>
        <w:t xml:space="preserve"> популяризації закладів культури на території міста через засоби масової інформації,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повідомлення, виставки, заходи до свят  та тематичні заходи у місті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2FEA" w:rsidRDefault="00512FEA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12FEA" w:rsidRDefault="00961EA1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Фінансування.</w:t>
      </w:r>
    </w:p>
    <w:p w:rsidR="00512FEA" w:rsidRDefault="00512FEA">
      <w:pPr>
        <w:pStyle w:val="aa"/>
        <w:spacing w:after="0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Плановий обсяг фінансування Програми у 2018 році передбачав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3 389 300,00</w:t>
      </w:r>
      <w:r>
        <w:rPr>
          <w:rFonts w:ascii="Times New Roman" w:hAnsi="Times New Roman"/>
          <w:sz w:val="28"/>
          <w:szCs w:val="28"/>
          <w:lang w:val="uk-UA"/>
        </w:rPr>
        <w:t xml:space="preserve">грн., тому числі:  </w:t>
      </w:r>
    </w:p>
    <w:p w:rsidR="00512FEA" w:rsidRDefault="00961E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Кошти міського бюджету – </w:t>
      </w:r>
      <w:r>
        <w:rPr>
          <w:rFonts w:ascii="Times New Roman" w:hAnsi="Times New Roman"/>
          <w:bCs/>
          <w:sz w:val="28"/>
          <w:szCs w:val="28"/>
        </w:rPr>
        <w:t xml:space="preserve">3389,30 </w:t>
      </w:r>
      <w:r>
        <w:rPr>
          <w:rFonts w:ascii="Times New Roman" w:hAnsi="Times New Roman"/>
          <w:sz w:val="28"/>
          <w:szCs w:val="28"/>
          <w:lang w:val="uk-UA"/>
        </w:rPr>
        <w:t xml:space="preserve">тисяч гривень, </w:t>
      </w:r>
    </w:p>
    <w:p w:rsidR="00512FEA" w:rsidRDefault="00961E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кошти – 0,0  гривень.</w:t>
      </w: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Фактичне виконання обсягів фінансування у 2018 році становить 2125244,61 грн., в тому числі:  </w:t>
      </w: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Кошти міського бюджету – 2 125 244,61 тисяч гривень.,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Інші кошти – 0,00 гривень. 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Вважати Програму у 2018 році виконаною на 62,7% в тому числі за кошти місцевого бюджету на 62,7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%.</w:t>
      </w:r>
    </w:p>
    <w:p w:rsidR="00512FEA" w:rsidRDefault="00512FEA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2FEA" w:rsidRDefault="00961EA1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Пропозиції щодо забезпечення виконання подібних програм.</w:t>
      </w:r>
    </w:p>
    <w:p w:rsidR="00512FEA" w:rsidRDefault="00512FEA">
      <w:pPr>
        <w:pStyle w:val="ab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забезпечення виконання подібних Програм необхідно чітко усвід</w:t>
      </w:r>
      <w:r>
        <w:rPr>
          <w:rFonts w:ascii="Times New Roman" w:hAnsi="Times New Roman"/>
          <w:sz w:val="28"/>
          <w:szCs w:val="28"/>
          <w:lang w:val="uk-UA"/>
        </w:rPr>
        <w:t xml:space="preserve">омлювати, що для забезпечення та проведення культурних заходів присвячених урочистим датам, державним і традиційним народним святам необхідно зберігати  та розвивати заклади культури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зміцнювати їх матеріально-технічну базу, а для цього</w:t>
      </w:r>
      <w:r>
        <w:rPr>
          <w:rFonts w:ascii="Times New Roman" w:hAnsi="Times New Roman"/>
          <w:sz w:val="28"/>
          <w:szCs w:val="28"/>
          <w:lang w:val="uk-UA"/>
        </w:rPr>
        <w:t xml:space="preserve"> потрібно: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Максимально сконцентрувати зусилля міських органів влади в виділенні необхідного фінансування для існуючих закладів культури міста та прилеглих селищ.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Керівникам комунальних позашкільних закладів культури, громадським організаціям треба об</w:t>
      </w:r>
      <w:r>
        <w:rPr>
          <w:rFonts w:ascii="Times New Roman" w:hAnsi="Times New Roman"/>
          <w:sz w:val="28"/>
          <w:szCs w:val="28"/>
          <w:lang w:val="uk-UA"/>
        </w:rPr>
        <w:t>’єднати зусилля для отримання спонсорської допомоги та/або іншої фінансової допомоги, що не суперечить діючому законодавству на виконання зазначених завдань та забезпечити ефективне здійснення державної політики в галузі бібліотечної справи.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Використову</w:t>
      </w:r>
      <w:r>
        <w:rPr>
          <w:rFonts w:ascii="Times New Roman" w:hAnsi="Times New Roman"/>
          <w:sz w:val="28"/>
          <w:szCs w:val="28"/>
          <w:lang w:val="uk-UA"/>
        </w:rPr>
        <w:t xml:space="preserve">вати досягнення вітчизняної та світової мистецької культури у практиці роботи закладів культури шляхом популяризації нових підходів в проведенні свят та визначних дат серед широких верст населення. 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Для організації заходів та свят бажано проводити кругл</w:t>
      </w:r>
      <w:r>
        <w:rPr>
          <w:rFonts w:ascii="Times New Roman" w:hAnsi="Times New Roman"/>
          <w:sz w:val="28"/>
          <w:szCs w:val="28"/>
          <w:lang w:val="uk-UA"/>
        </w:rPr>
        <w:t xml:space="preserve">і столи з громадськістю міста для обговорення – </w:t>
      </w:r>
      <w:r>
        <w:rPr>
          <w:rFonts w:ascii="Times New Roman" w:hAnsi="Times New Roman"/>
          <w:i/>
          <w:sz w:val="28"/>
          <w:szCs w:val="28"/>
          <w:lang w:val="uk-UA"/>
        </w:rPr>
        <w:t>рада свята</w:t>
      </w:r>
      <w:r>
        <w:rPr>
          <w:rFonts w:ascii="Times New Roman" w:hAnsi="Times New Roman"/>
          <w:sz w:val="28"/>
          <w:szCs w:val="28"/>
          <w:lang w:val="uk-UA"/>
        </w:rPr>
        <w:t xml:space="preserve"> (рада справи) – з представників відділу культури, відділу освіти, відділу молоді і спорту, відділу внутрішньої політики, виконавчих органів Сєвєродонецької міської ради, громадських організацій, пр</w:t>
      </w:r>
      <w:r>
        <w:rPr>
          <w:rFonts w:ascii="Times New Roman" w:hAnsi="Times New Roman"/>
          <w:sz w:val="28"/>
          <w:szCs w:val="28"/>
          <w:lang w:val="uk-UA"/>
        </w:rPr>
        <w:t xml:space="preserve">едставників підприємств і звичайних містян (доречно ввести у групу активних людей). Залежно від типу свята до складу групи можна ввести й окремих фахівців закладів культури (керівників гуртків, педагогів, інших працівників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закладів культури та навчальних з</w:t>
      </w:r>
      <w:r>
        <w:rPr>
          <w:rFonts w:ascii="Times New Roman" w:hAnsi="Times New Roman"/>
          <w:sz w:val="28"/>
          <w:szCs w:val="28"/>
          <w:lang w:val="uk-UA"/>
        </w:rPr>
        <w:t>акладів). Чисельний склад ради свята налічує не більш як 10 - 15осіб.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раді свята </w:t>
      </w:r>
      <w:r>
        <w:rPr>
          <w:rFonts w:ascii="Times New Roman" w:hAnsi="Times New Roman"/>
          <w:i/>
          <w:sz w:val="28"/>
          <w:szCs w:val="28"/>
          <w:lang w:val="uk-UA"/>
        </w:rPr>
        <w:t>обговорюються пропозиції</w:t>
      </w:r>
      <w:r>
        <w:rPr>
          <w:rFonts w:ascii="Times New Roman" w:hAnsi="Times New Roman"/>
          <w:sz w:val="28"/>
          <w:szCs w:val="28"/>
          <w:lang w:val="uk-UA"/>
        </w:rPr>
        <w:t xml:space="preserve"> щодо проведення заходів та свят, з’ясовуються загальні питання, що стосуються координаційної роботи, розподілу повноважень, системи контактів для обміну потрібною інформацією. </w:t>
      </w:r>
      <w:r>
        <w:rPr>
          <w:rFonts w:ascii="Times New Roman" w:hAnsi="Times New Roman"/>
          <w:i/>
          <w:sz w:val="28"/>
          <w:szCs w:val="28"/>
          <w:lang w:val="uk-UA"/>
        </w:rPr>
        <w:t>Розподіляються доручення</w:t>
      </w:r>
      <w:r>
        <w:rPr>
          <w:rFonts w:ascii="Times New Roman" w:hAnsi="Times New Roman"/>
          <w:sz w:val="28"/>
          <w:szCs w:val="28"/>
          <w:lang w:val="uk-UA"/>
        </w:rPr>
        <w:t xml:space="preserve"> з урахуванням індивідуальних інтересів, здібностей і б</w:t>
      </w:r>
      <w:r>
        <w:rPr>
          <w:rFonts w:ascii="Times New Roman" w:hAnsi="Times New Roman"/>
          <w:sz w:val="28"/>
          <w:szCs w:val="28"/>
          <w:lang w:val="uk-UA"/>
        </w:rPr>
        <w:t>ажань, що має велике значення з метою забезпечення індивідуальної комфортності.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Потенційним учасникам заходів та свят пропонується </w:t>
      </w:r>
      <w:r>
        <w:rPr>
          <w:rFonts w:ascii="Times New Roman" w:hAnsi="Times New Roman"/>
          <w:i/>
          <w:sz w:val="28"/>
          <w:szCs w:val="28"/>
          <w:lang w:val="uk-UA"/>
        </w:rPr>
        <w:t>збирати ідеї</w:t>
      </w:r>
      <w:r>
        <w:rPr>
          <w:rFonts w:ascii="Times New Roman" w:hAnsi="Times New Roman"/>
          <w:sz w:val="28"/>
          <w:szCs w:val="28"/>
          <w:lang w:val="uk-UA"/>
        </w:rPr>
        <w:t xml:space="preserve"> (оригінальні й репродуктивні) щодо майбутніх заходів та свят, прямі й супутні матеріали, переглядають фонди бібл</w:t>
      </w:r>
      <w:r>
        <w:rPr>
          <w:rFonts w:ascii="Times New Roman" w:hAnsi="Times New Roman"/>
          <w:sz w:val="28"/>
          <w:szCs w:val="28"/>
          <w:lang w:val="uk-UA"/>
        </w:rPr>
        <w:t>іотеки з метою відбору і переробки потенційно можливих.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Активно залучати позабюджетні інвестиції для зміцнення матеріально-технічної бази всіх закладів культури, забезпечення їх різноманітною літературою технічними засобами та інноваційними технологіями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 час підготовки та проведення культурних заходів та </w:t>
      </w:r>
      <w:r>
        <w:rPr>
          <w:rFonts w:ascii="Times New Roman" w:hAnsi="Times New Roman"/>
          <w:sz w:val="28"/>
          <w:szCs w:val="28"/>
          <w:lang w:val="uk-UA"/>
        </w:rPr>
        <w:t>державних і традиційних народних свят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потрібно враховувати особливості національного складу вікових груп людей, світські та народні традиції відзначення  циклу у місті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запити громади 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іста, інтереси дітей, підлітків та дорослих, можливості закладів які приймають участь в проведенні свят. Такі свята можуть бути проведеними як карнавал; концерт; вистава; тематична розвага у світському, фантастично-казковому, народному стилі (бажано погоди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 з громадою міста); із залученням дітей; фахівців закладів - культури, освіти молоді та спорту; людей які проживають у місті або професійних артистів для виконання ролей різних планів. Доречно долучати громадські організації до участі у проведенні заході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в, підготовки до проведення свят, а це і виготовлення костюмів, атрибутів тощо. Це сприятиме активізації громади, забезпечить безпосередню участь містян у житті міста, допоможе налагодити ефективну взаємодію у тріаді «міська рада-громада-заклади культури»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уникнути протиріч та непорозумінь.</w:t>
      </w:r>
    </w:p>
    <w:p w:rsidR="00512FEA" w:rsidRDefault="00512FEA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512FEA" w:rsidRDefault="00512FE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Default="00961E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В. Ткачук</w:t>
      </w:r>
    </w:p>
    <w:p w:rsidR="00512FEA" w:rsidRDefault="00512F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Default="00512F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Default="00512FEA">
      <w:pPr>
        <w:spacing w:after="0"/>
        <w:ind w:left="-142" w:right="-143"/>
        <w:jc w:val="center"/>
      </w:pPr>
    </w:p>
    <w:sectPr w:rsidR="00512FEA" w:rsidSect="00512FEA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FEA"/>
    <w:rsid w:val="00512FEA"/>
    <w:rsid w:val="0096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8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1"/>
    <w:semiHidden/>
    <w:unhideWhenUsed/>
    <w:qFormat/>
    <w:rsid w:val="00951CC0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DD3B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23136"/>
    <w:rPr>
      <w:color w:val="0000FF"/>
      <w:u w:val="single"/>
    </w:rPr>
  </w:style>
  <w:style w:type="character" w:customStyle="1" w:styleId="a4">
    <w:name w:val="Без интервала Знак"/>
    <w:basedOn w:val="a0"/>
    <w:uiPriority w:val="1"/>
    <w:qFormat/>
    <w:rsid w:val="00F23136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qFormat/>
    <w:rsid w:val="0008337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D4000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semiHidden/>
    <w:qFormat/>
    <w:rsid w:val="00951C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512FEA"/>
    <w:rPr>
      <w:rFonts w:cs="Times New Roman"/>
    </w:rPr>
  </w:style>
  <w:style w:type="character" w:customStyle="1" w:styleId="ListLabel2">
    <w:name w:val="ListLabel 2"/>
    <w:qFormat/>
    <w:rsid w:val="00512FEA"/>
    <w:rPr>
      <w:lang w:val="uk-UA"/>
    </w:rPr>
  </w:style>
  <w:style w:type="character" w:customStyle="1" w:styleId="ListLabel3">
    <w:name w:val="ListLabel 3"/>
    <w:qFormat/>
    <w:rsid w:val="00512FEA"/>
    <w:rPr>
      <w:lang w:val="uk-UA"/>
    </w:rPr>
  </w:style>
  <w:style w:type="character" w:customStyle="1" w:styleId="ListLabel4">
    <w:name w:val="ListLabel 4"/>
    <w:qFormat/>
    <w:rsid w:val="00512FEA"/>
    <w:rPr>
      <w:rFonts w:eastAsia="Times New Roman" w:cs="Times New Roman"/>
    </w:rPr>
  </w:style>
  <w:style w:type="character" w:customStyle="1" w:styleId="ListLabel5">
    <w:name w:val="ListLabel 5"/>
    <w:qFormat/>
    <w:rsid w:val="00512FEA"/>
    <w:rPr>
      <w:rFonts w:cs="Courier New"/>
    </w:rPr>
  </w:style>
  <w:style w:type="character" w:customStyle="1" w:styleId="ListLabel6">
    <w:name w:val="ListLabel 6"/>
    <w:qFormat/>
    <w:rsid w:val="00512FEA"/>
    <w:rPr>
      <w:rFonts w:cs="Courier New"/>
    </w:rPr>
  </w:style>
  <w:style w:type="character" w:customStyle="1" w:styleId="ListLabel7">
    <w:name w:val="ListLabel 7"/>
    <w:qFormat/>
    <w:rsid w:val="00512FEA"/>
    <w:rPr>
      <w:rFonts w:cs="Courier New"/>
    </w:rPr>
  </w:style>
  <w:style w:type="paragraph" w:customStyle="1" w:styleId="a6">
    <w:name w:val="Заголовок"/>
    <w:basedOn w:val="a"/>
    <w:next w:val="a7"/>
    <w:qFormat/>
    <w:rsid w:val="00512F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8337A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paragraph" w:styleId="a8">
    <w:name w:val="List"/>
    <w:basedOn w:val="a7"/>
    <w:rsid w:val="00512FEA"/>
    <w:rPr>
      <w:rFonts w:cs="Arial"/>
    </w:rPr>
  </w:style>
  <w:style w:type="paragraph" w:customStyle="1" w:styleId="Caption">
    <w:name w:val="Caption"/>
    <w:basedOn w:val="a"/>
    <w:qFormat/>
    <w:rsid w:val="00512F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12FEA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b">
    <w:name w:val="No Spacing"/>
    <w:uiPriority w:val="1"/>
    <w:qFormat/>
    <w:rsid w:val="00564846"/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D3B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0">
    <w:name w:val="Body Text 3"/>
    <w:basedOn w:val="a"/>
    <w:link w:val="31"/>
    <w:uiPriority w:val="99"/>
    <w:semiHidden/>
    <w:unhideWhenUsed/>
    <w:qFormat/>
    <w:rsid w:val="00D4000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9385</Words>
  <Characters>5351</Characters>
  <Application>Microsoft Office Word</Application>
  <DocSecurity>0</DocSecurity>
  <Lines>44</Lines>
  <Paragraphs>29</Paragraphs>
  <ScaleCrop>false</ScaleCrop>
  <Company>Kontora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userMdr1148</cp:lastModifiedBy>
  <cp:revision>12</cp:revision>
  <cp:lastPrinted>2018-03-28T13:19:00Z</cp:lastPrinted>
  <dcterms:created xsi:type="dcterms:W3CDTF">2019-05-02T10:27:00Z</dcterms:created>
  <dcterms:modified xsi:type="dcterms:W3CDTF">2019-06-14T08:33:00Z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