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0F" w:rsidRPr="00E2740F" w:rsidRDefault="00E2740F" w:rsidP="00E2740F">
      <w:pPr>
        <w:shd w:val="clear" w:color="auto" w:fill="FFFFFF"/>
        <w:spacing w:after="60"/>
        <w:jc w:val="center"/>
        <w:outlineLvl w:val="1"/>
        <w:rPr>
          <w:rFonts w:ascii="Tahoma" w:eastAsia="Times New Roman" w:hAnsi="Tahoma" w:cs="Tahoma"/>
          <w:b/>
          <w:bCs/>
          <w:color w:val="4A4A4A"/>
          <w:sz w:val="31"/>
          <w:szCs w:val="31"/>
          <w:lang w:eastAsia="ru-RU"/>
        </w:rPr>
      </w:pPr>
      <w:r w:rsidRPr="00E2740F">
        <w:rPr>
          <w:rFonts w:ascii="Tahoma" w:eastAsia="Times New Roman" w:hAnsi="Tahoma" w:cs="Tahoma"/>
          <w:b/>
          <w:bCs/>
          <w:color w:val="4A4A4A"/>
          <w:sz w:val="31"/>
          <w:szCs w:val="31"/>
          <w:lang w:eastAsia="ru-RU"/>
        </w:rPr>
        <w:t>СЄВЄРОДОНЕЦЬКА МІСЬКА РАДА</w:t>
      </w:r>
    </w:p>
    <w:p w:rsidR="00E2740F" w:rsidRPr="00E2740F" w:rsidRDefault="00E2740F" w:rsidP="00E2740F">
      <w:pPr>
        <w:shd w:val="clear" w:color="auto" w:fill="FFFFFF"/>
        <w:spacing w:after="60"/>
        <w:jc w:val="center"/>
        <w:outlineLvl w:val="1"/>
        <w:rPr>
          <w:rFonts w:ascii="Tahoma" w:eastAsia="Times New Roman" w:hAnsi="Tahoma" w:cs="Tahoma"/>
          <w:b/>
          <w:bCs/>
          <w:color w:val="4A4A4A"/>
          <w:sz w:val="31"/>
          <w:szCs w:val="31"/>
          <w:lang w:eastAsia="ru-RU"/>
        </w:rPr>
      </w:pPr>
      <w:r w:rsidRPr="00E2740F">
        <w:rPr>
          <w:rFonts w:ascii="Tahoma" w:eastAsia="Times New Roman" w:hAnsi="Tahoma" w:cs="Tahoma"/>
          <w:b/>
          <w:bCs/>
          <w:color w:val="4A4A4A"/>
          <w:sz w:val="31"/>
          <w:szCs w:val="31"/>
          <w:lang w:eastAsia="ru-RU"/>
        </w:rPr>
        <w:t>ШОСТОГО СКЛИКАННЯ</w:t>
      </w:r>
    </w:p>
    <w:p w:rsidR="00E2740F" w:rsidRPr="00E2740F" w:rsidRDefault="00E2740F" w:rsidP="00E2740F">
      <w:pPr>
        <w:shd w:val="clear" w:color="auto" w:fill="FFFFFF"/>
        <w:spacing w:after="60"/>
        <w:jc w:val="center"/>
        <w:outlineLvl w:val="1"/>
        <w:rPr>
          <w:rFonts w:ascii="Tahoma" w:eastAsia="Times New Roman" w:hAnsi="Tahoma" w:cs="Tahoma"/>
          <w:b/>
          <w:bCs/>
          <w:color w:val="4A4A4A"/>
          <w:sz w:val="31"/>
          <w:szCs w:val="31"/>
          <w:lang w:eastAsia="ru-RU"/>
        </w:rPr>
      </w:pPr>
      <w:r w:rsidRPr="00E2740F">
        <w:rPr>
          <w:rFonts w:ascii="Tahoma" w:eastAsia="Times New Roman" w:hAnsi="Tahoma" w:cs="Tahoma"/>
          <w:b/>
          <w:bCs/>
          <w:color w:val="4A4A4A"/>
          <w:sz w:val="31"/>
          <w:szCs w:val="31"/>
          <w:lang w:eastAsia="ru-RU"/>
        </w:rPr>
        <w:t>Сімдесят шоста (позачергова) сесія</w:t>
      </w:r>
    </w:p>
    <w:p w:rsidR="00E2740F" w:rsidRPr="00E2740F" w:rsidRDefault="00E2740F" w:rsidP="00E2740F">
      <w:pPr>
        <w:shd w:val="clear" w:color="auto" w:fill="FFFFFF"/>
        <w:spacing w:after="60"/>
        <w:jc w:val="center"/>
        <w:outlineLvl w:val="1"/>
        <w:rPr>
          <w:rFonts w:ascii="Tahoma" w:eastAsia="Times New Roman" w:hAnsi="Tahoma" w:cs="Tahoma"/>
          <w:b/>
          <w:bCs/>
          <w:color w:val="4A4A4A"/>
          <w:sz w:val="31"/>
          <w:szCs w:val="31"/>
          <w:lang w:eastAsia="ru-RU"/>
        </w:rPr>
      </w:pPr>
      <w:r w:rsidRPr="00E2740F">
        <w:rPr>
          <w:rFonts w:ascii="Tahoma" w:eastAsia="Times New Roman" w:hAnsi="Tahoma" w:cs="Tahoma"/>
          <w:b/>
          <w:bCs/>
          <w:color w:val="4A4A4A"/>
          <w:sz w:val="31"/>
          <w:szCs w:val="31"/>
          <w:lang w:eastAsia="ru-RU"/>
        </w:rPr>
        <w:t>РІШЕННЯ №3304</w:t>
      </w:r>
    </w:p>
    <w:p w:rsidR="00E2740F" w:rsidRPr="00E2740F" w:rsidRDefault="00E2740F" w:rsidP="00E2740F">
      <w:pPr>
        <w:shd w:val="clear" w:color="auto" w:fill="FFFFFF"/>
        <w:spacing w:after="180" w:line="360" w:lineRule="atLeast"/>
        <w:jc w:val="both"/>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 _12_ ”  грудня______ 2013 року</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м. Сєвєродонецьк</w:t>
      </w:r>
    </w:p>
    <w:p w:rsidR="00E2740F" w:rsidRPr="00E2740F" w:rsidRDefault="00E2740F" w:rsidP="00E2740F">
      <w:pPr>
        <w:shd w:val="clear" w:color="auto" w:fill="FFFFFF"/>
        <w:spacing w:after="60"/>
        <w:outlineLvl w:val="1"/>
        <w:rPr>
          <w:rFonts w:ascii="Tahoma" w:eastAsia="Times New Roman" w:hAnsi="Tahoma" w:cs="Tahoma"/>
          <w:b/>
          <w:bCs/>
          <w:color w:val="4A4A4A"/>
          <w:sz w:val="31"/>
          <w:szCs w:val="31"/>
          <w:lang w:eastAsia="ru-RU"/>
        </w:rPr>
      </w:pPr>
      <w:r w:rsidRPr="00E2740F">
        <w:rPr>
          <w:rFonts w:ascii="Tahoma" w:eastAsia="Times New Roman" w:hAnsi="Tahoma" w:cs="Tahoma"/>
          <w:b/>
          <w:bCs/>
          <w:color w:val="4A4A4A"/>
          <w:sz w:val="31"/>
          <w:szCs w:val="31"/>
          <w:lang w:eastAsia="ru-RU"/>
        </w:rPr>
        <w:t>Про надання гарантії Сєвєродонецькою міською радою для забезпечення виконання боргових зобов’язань комунального підприємства Сєвєродонецької міської ради «Сєвєродонецьктеплокомуненерго» за кредитом  Північної Екологічної Фінансової  Корпорації (НЕФКО) для реалізації проекту «Демонстраційний проект Demo UkrainaDH у м.Сєвєродонецьку (Модернізація системи теплопостачання об’єктів 81 мікрорайону)»</w:t>
      </w:r>
    </w:p>
    <w:p w:rsidR="00E2740F" w:rsidRPr="00E2740F" w:rsidRDefault="00E2740F" w:rsidP="00E2740F">
      <w:pPr>
        <w:shd w:val="clear" w:color="auto" w:fill="FFFFFF"/>
        <w:spacing w:after="180" w:line="360" w:lineRule="atLeast"/>
        <w:ind w:right="5165"/>
        <w:jc w:val="both"/>
        <w:rPr>
          <w:rFonts w:ascii="Tahoma" w:eastAsia="Times New Roman" w:hAnsi="Tahoma" w:cs="Tahoma"/>
          <w:color w:val="4A4A4A"/>
          <w:sz w:val="10"/>
          <w:szCs w:val="10"/>
          <w:lang w:eastAsia="ru-RU"/>
        </w:rPr>
      </w:pPr>
      <w:r w:rsidRPr="00E2740F">
        <w:rPr>
          <w:rFonts w:ascii="Tahoma" w:eastAsia="Times New Roman" w:hAnsi="Tahoma" w:cs="Tahoma"/>
          <w:color w:val="4A4A4A"/>
          <w:sz w:val="24"/>
          <w:szCs w:val="24"/>
          <w:lang w:val="uk-UA" w:eastAsia="ru-RU"/>
        </w:rPr>
        <w:t> </w:t>
      </w:r>
    </w:p>
    <w:p w:rsidR="00E2740F" w:rsidRPr="00E2740F" w:rsidRDefault="00E2740F" w:rsidP="00E2740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Керуючись ст..26, 60, 70, част.1,5 ст.59 Закону України «Про місцеве самоврядування в Україні», ст.17,18,74 Бюджетного Кодексу України, постанови Кабінету Міністрів України № 541 від 14.05.2012 року «Про затвердження Порядку надання місцевих гарантій» з метою реалізації проекту «Демонстраційний проект Demo UkrainaDH у м.Сєвєродонецьку (Модернізація системи теплопостачання об’єктів 81 мікрорайону)» Сєвєродонецька міська рада</w:t>
      </w:r>
    </w:p>
    <w:p w:rsidR="00E2740F" w:rsidRPr="00E2740F" w:rsidRDefault="00E2740F" w:rsidP="00E2740F">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E2740F">
        <w:rPr>
          <w:rFonts w:ascii="Tahoma" w:eastAsia="Times New Roman" w:hAnsi="Tahoma" w:cs="Tahoma"/>
          <w:b/>
          <w:bCs/>
          <w:color w:val="4A4A4A"/>
          <w:sz w:val="24"/>
          <w:szCs w:val="24"/>
          <w:lang w:val="uk-UA" w:eastAsia="ru-RU"/>
        </w:rPr>
        <w:t> </w:t>
      </w:r>
    </w:p>
    <w:p w:rsidR="00E2740F" w:rsidRPr="00E2740F" w:rsidRDefault="00E2740F" w:rsidP="00E2740F">
      <w:pPr>
        <w:shd w:val="clear" w:color="auto" w:fill="FFFFFF"/>
        <w:spacing w:after="180" w:line="201" w:lineRule="atLeast"/>
        <w:ind w:firstLine="709"/>
        <w:jc w:val="both"/>
        <w:rPr>
          <w:rFonts w:ascii="Tahoma" w:eastAsia="Times New Roman" w:hAnsi="Tahoma" w:cs="Tahoma"/>
          <w:color w:val="4A4A4A"/>
          <w:sz w:val="10"/>
          <w:szCs w:val="10"/>
          <w:lang w:eastAsia="ru-RU"/>
        </w:rPr>
      </w:pPr>
      <w:r w:rsidRPr="00E2740F">
        <w:rPr>
          <w:rFonts w:ascii="Tahoma" w:eastAsia="Times New Roman" w:hAnsi="Tahoma" w:cs="Tahoma"/>
          <w:b/>
          <w:bCs/>
          <w:color w:val="4A4A4A"/>
          <w:sz w:val="24"/>
          <w:szCs w:val="24"/>
          <w:lang w:val="uk-UA" w:eastAsia="ru-RU"/>
        </w:rPr>
        <w:t>ВИРІШИЛА:</w:t>
      </w:r>
    </w:p>
    <w:p w:rsidR="00E2740F" w:rsidRPr="00E2740F" w:rsidRDefault="00E2740F" w:rsidP="00E2740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1.           Надати гарантію Сєвєродонецької міської ради (далі – місцева гарантія) для забезпечення виконання боргових зобов’язань комунального підприємства Сєвєродонецької міської ради «Сєвєродонецьктеплокомуненерго», що знаходиться за адресою: 93412 м.Сєвєродонецьк, Луганської обл., вул..Космонавтів, 9а, (далі – Позичальник) за кредитом   Північної Екологічної Фінансової Корпорації (НЕФКО) (далі – Кредитор) для виконання інвестиційного проекту  «Демонстраційний проект Demo UkrainaDH у м.Сєвєродонецьку (Модернізація системи теплопостачання об’єктів 81 мікрорайону)» (далі – Проект).</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2.           Місцеву гарантію надати на строк дії кредитного договору, укладеного між Позичальником та Кредитором (надалі – Договір), що становить  7 років, з урахуванням пільгового періоду два роки після підписання Договору позики.</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3.           Установити, що місцева гарантія надається у розмірі усіх боргових зобов’язань Позичальника відповідно до Договору.</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4.           Надати дозвіл (погодження) Позичальнику, на укладення Договору під місцеву гарантію для реалізації Проекту згідно з наведеними нижче істотними умовами:</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4.1.            обсяг та валюта кредиту -  375000 євро або 4069835,625 грн. по курсу Національного банку України станом на 4.12.2013 року (100 євро – 1085,2895 грн.).</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4.2.            строк кредиту:  7 років, з урахуванням пільгового періоду два роки після підписання Договору Позики, упродовж яких кредит має бути повністю погашений рівними піврічними платежами ( 10 платежів).</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4.3.            відсоткова ставка за користування залученими коштами: 6% річних (фіксована ставка).</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lastRenderedPageBreak/>
        <w:t>4.4.            сплата відсотків за користування кредитом здійснюється разом з платежами з погашення кредиту, згідно з умовами, встановленими Договором.</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5.           Уповноважити Сєвєродонецького міського голову Казакова Валентина Васильовича укласти від імені Сєвєродонецької міської ради Договір гарантії з Кредитором на умовах, зазначених у цьому рішенні.</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6.           Уповноважити директора комунального підприємства Сєвєродонецької міської ради «Сєвєродонецьктеплокомуненерго» Анпілогова Дениса Володимировича укласти Договір на умовах, зазначених у цьому рішенні.</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7.           Установити для комунального підприємства Сєвєродонецької міської ради «Сєвєродонецьктеплокомуненерго» розмір плати за надання місцевої гарантії 1 (одна) гривня за кожен рік на період дії Договору гарантії з терміном сплати щороку не пізніше 25 числа (або протягом місяця після підписання Договору гарантії).</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8.           Визначити, що відсутня необхідність надання Позичальником майнового або іншого забезпечення виконання зобов’язань за Договором про погашення заборгованості Позичальника перед територіальною громадою міста за виконання гарантійних зобов’язань.</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9.            Фінансовому управлінню Сєвєродонецької міської ради:</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9.1.   Щорічно протягом строку дії Договору гарантії з Кредитором передбачати в проекті міського бюджету міста Сєвєродонецька кошти для забезпечення виконання гарантійних зобов'язань за цим Договором гарантії відповідно до умов, визначених частиною п’ятнадцятою статті17 Бюджетного Кодексу України.</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9.2.            Здійснювати за рахунок коштів міського бюджету платежі, пов’язані з виконанням гарантійних зобов’язань відповідно до умов, визначених частиною сьомою статті 17 Бюджетного Кодексу України.</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10.       Дане рішення набуває чинності відповідно до законодавства, але не раніше схвалення Кабінетом Міністрів України прийнятого Міністерством фінансів України рішення про погодження обсягу та умов надання місцевої гарантії Сєвєродонецькою міською радою.</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11.       Дане рішення підлягає оприлюдненню.</w:t>
      </w:r>
    </w:p>
    <w:p w:rsidR="00E2740F" w:rsidRPr="00E2740F" w:rsidRDefault="00E2740F" w:rsidP="00E2740F">
      <w:pPr>
        <w:shd w:val="clear" w:color="auto" w:fill="FFFFFF"/>
        <w:spacing w:after="180" w:line="360" w:lineRule="atLeast"/>
        <w:rPr>
          <w:rFonts w:ascii="Tahoma" w:eastAsia="Times New Roman" w:hAnsi="Tahoma" w:cs="Tahoma"/>
          <w:color w:val="4A4A4A"/>
          <w:sz w:val="10"/>
          <w:szCs w:val="10"/>
          <w:lang w:eastAsia="ru-RU"/>
        </w:rPr>
      </w:pPr>
      <w:r w:rsidRPr="00E2740F">
        <w:rPr>
          <w:rFonts w:ascii="Tahoma" w:eastAsia="Times New Roman" w:hAnsi="Tahoma" w:cs="Tahoma"/>
          <w:color w:val="4A4A4A"/>
          <w:sz w:val="10"/>
          <w:szCs w:val="10"/>
          <w:lang w:eastAsia="ru-RU"/>
        </w:rPr>
        <w:t>12.       Контроль за виконанням даного рішення покласти на постійну комісію по з питань планування, бюджету та фінансів.</w:t>
      </w:r>
    </w:p>
    <w:p w:rsidR="00E2740F" w:rsidRPr="00E2740F" w:rsidRDefault="00E2740F" w:rsidP="00E2740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E2740F">
        <w:rPr>
          <w:rFonts w:ascii="Tahoma" w:eastAsia="Times New Roman" w:hAnsi="Tahoma" w:cs="Tahoma"/>
          <w:color w:val="4A4A4A"/>
          <w:sz w:val="24"/>
          <w:szCs w:val="24"/>
          <w:lang w:val="uk-UA" w:eastAsia="ru-RU"/>
        </w:rPr>
        <w:t> </w:t>
      </w:r>
    </w:p>
    <w:p w:rsidR="00E2740F" w:rsidRPr="00E2740F" w:rsidRDefault="00E2740F" w:rsidP="00E2740F">
      <w:pPr>
        <w:shd w:val="clear" w:color="auto" w:fill="FFFFFF"/>
        <w:spacing w:after="180" w:line="360" w:lineRule="atLeast"/>
        <w:ind w:left="709"/>
        <w:jc w:val="both"/>
        <w:rPr>
          <w:rFonts w:ascii="Tahoma" w:eastAsia="Times New Roman" w:hAnsi="Tahoma" w:cs="Tahoma"/>
          <w:color w:val="4A4A4A"/>
          <w:sz w:val="10"/>
          <w:szCs w:val="10"/>
          <w:lang w:eastAsia="ru-RU"/>
        </w:rPr>
      </w:pPr>
      <w:r w:rsidRPr="00E2740F">
        <w:rPr>
          <w:rFonts w:ascii="Tahoma" w:eastAsia="Times New Roman" w:hAnsi="Tahoma" w:cs="Tahoma"/>
          <w:color w:val="4A4A4A"/>
          <w:sz w:val="24"/>
          <w:szCs w:val="24"/>
          <w:lang w:val="uk-UA" w:eastAsia="ru-RU"/>
        </w:rPr>
        <w:t> </w:t>
      </w:r>
    </w:p>
    <w:p w:rsidR="00E2740F" w:rsidRPr="00E2740F" w:rsidRDefault="00E2740F" w:rsidP="00E2740F">
      <w:pPr>
        <w:shd w:val="clear" w:color="auto" w:fill="FFFFFF"/>
        <w:spacing w:after="180" w:line="360" w:lineRule="atLeast"/>
        <w:ind w:left="709"/>
        <w:rPr>
          <w:rFonts w:ascii="Tahoma" w:eastAsia="Times New Roman" w:hAnsi="Tahoma" w:cs="Tahoma"/>
          <w:color w:val="4A4A4A"/>
          <w:sz w:val="10"/>
          <w:szCs w:val="10"/>
          <w:lang w:eastAsia="ru-RU"/>
        </w:rPr>
      </w:pPr>
      <w:r w:rsidRPr="00E2740F">
        <w:rPr>
          <w:rFonts w:ascii="Tahoma" w:eastAsia="Times New Roman" w:hAnsi="Tahoma" w:cs="Tahoma"/>
          <w:b/>
          <w:bCs/>
          <w:color w:val="4A4A4A"/>
          <w:sz w:val="24"/>
          <w:szCs w:val="24"/>
          <w:lang w:val="uk-UA" w:eastAsia="ru-RU"/>
        </w:rPr>
        <w:t>Міський голова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E2740F"/>
    <w:rsid w:val="00C62C0A"/>
    <w:rsid w:val="00CF7EE0"/>
    <w:rsid w:val="00E2740F"/>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E2740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4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4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740F"/>
  </w:style>
</w:styles>
</file>

<file path=word/webSettings.xml><?xml version="1.0" encoding="utf-8"?>
<w:webSettings xmlns:r="http://schemas.openxmlformats.org/officeDocument/2006/relationships" xmlns:w="http://schemas.openxmlformats.org/wordprocessingml/2006/main">
  <w:divs>
    <w:div w:id="1510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Company>Северодонецкие вести</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2016-07-27T11:42:00Z</dcterms:created>
  <dcterms:modified xsi:type="dcterms:W3CDTF">2016-07-27T11:43:00Z</dcterms:modified>
</cp:coreProperties>
</file>