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81" w:rsidRPr="00C20791" w:rsidRDefault="002A4681" w:rsidP="002B5CD0">
      <w:pPr>
        <w:jc w:val="center"/>
        <w:rPr>
          <w:b/>
          <w:sz w:val="28"/>
          <w:szCs w:val="28"/>
          <w:lang w:val="uk-UA"/>
        </w:rPr>
      </w:pPr>
      <w:r w:rsidRPr="00C20791">
        <w:rPr>
          <w:b/>
          <w:sz w:val="28"/>
          <w:szCs w:val="28"/>
          <w:lang w:val="uk-UA"/>
        </w:rPr>
        <w:t xml:space="preserve">ФОНД КОМУНАЛЬНОГО МАЙНА СЄВЄРОДОНЕЦЬКОЇ МIСЬКОЇ РАДИ </w:t>
      </w:r>
    </w:p>
    <w:p w:rsidR="00F1279C" w:rsidRPr="00F1279C" w:rsidRDefault="00A16716" w:rsidP="00F1279C">
      <w:pPr>
        <w:jc w:val="center"/>
        <w:rPr>
          <w:b/>
          <w:sz w:val="32"/>
          <w:lang w:val="uk-UA"/>
        </w:rPr>
      </w:pPr>
      <w:r>
        <w:rPr>
          <w:b/>
          <w:sz w:val="52"/>
          <w:lang w:val="uk-UA"/>
        </w:rPr>
        <w:t>1</w:t>
      </w:r>
      <w:r w:rsidR="00E047DC">
        <w:rPr>
          <w:b/>
          <w:sz w:val="52"/>
          <w:lang w:val="uk-UA"/>
        </w:rPr>
        <w:t>0</w:t>
      </w:r>
      <w:r w:rsidR="00BD7F76">
        <w:rPr>
          <w:b/>
          <w:sz w:val="52"/>
          <w:lang w:val="uk-UA"/>
        </w:rPr>
        <w:t xml:space="preserve"> </w:t>
      </w:r>
      <w:r w:rsidR="00E047DC">
        <w:rPr>
          <w:b/>
          <w:sz w:val="52"/>
          <w:lang w:val="uk-UA"/>
        </w:rPr>
        <w:t>березня</w:t>
      </w:r>
      <w:r w:rsidR="002A4681" w:rsidRPr="00C532E2">
        <w:rPr>
          <w:b/>
          <w:sz w:val="52"/>
          <w:lang w:val="uk-UA"/>
        </w:rPr>
        <w:t xml:space="preserve"> 20</w:t>
      </w:r>
      <w:r w:rsidR="004411E0" w:rsidRPr="00C532E2">
        <w:rPr>
          <w:b/>
          <w:sz w:val="52"/>
          <w:lang w:val="uk-UA"/>
        </w:rPr>
        <w:t>1</w:t>
      </w:r>
      <w:r w:rsidR="00E047DC">
        <w:rPr>
          <w:b/>
          <w:sz w:val="52"/>
          <w:lang w:val="uk-UA"/>
        </w:rPr>
        <w:t>7</w:t>
      </w:r>
      <w:r w:rsidR="002A4681" w:rsidRPr="00C532E2">
        <w:rPr>
          <w:b/>
          <w:sz w:val="32"/>
          <w:lang w:val="uk-UA"/>
        </w:rPr>
        <w:t xml:space="preserve"> </w:t>
      </w:r>
      <w:r w:rsidR="002A4681" w:rsidRPr="00C532E2">
        <w:rPr>
          <w:b/>
          <w:sz w:val="40"/>
          <w:lang w:val="uk-UA"/>
        </w:rPr>
        <w:t>року о 10 годинi</w:t>
      </w:r>
    </w:p>
    <w:p w:rsidR="002A4681" w:rsidRPr="00401571" w:rsidRDefault="002D37C7" w:rsidP="00F1279C">
      <w:pPr>
        <w:pStyle w:val="2"/>
        <w:tabs>
          <w:tab w:val="left" w:pos="11482"/>
        </w:tabs>
        <w:rPr>
          <w:bCs/>
          <w:sz w:val="48"/>
          <w:szCs w:val="48"/>
          <w:lang w:val="uk-UA"/>
        </w:rPr>
      </w:pPr>
      <w:r w:rsidRPr="00C532E2">
        <w:rPr>
          <w:sz w:val="48"/>
          <w:lang w:val="uk-UA"/>
        </w:rPr>
        <w:t>ОГОЛОШУЄ</w:t>
      </w:r>
      <w:r w:rsidRPr="00C532E2">
        <w:rPr>
          <w:lang w:val="uk-UA"/>
        </w:rPr>
        <w:t xml:space="preserve"> </w:t>
      </w:r>
      <w:r w:rsidR="002A4681" w:rsidRPr="00401571">
        <w:rPr>
          <w:bCs/>
          <w:sz w:val="48"/>
          <w:szCs w:val="48"/>
          <w:lang w:val="uk-UA"/>
        </w:rPr>
        <w:t>АУКЦIОН</w:t>
      </w:r>
    </w:p>
    <w:p w:rsidR="00A045E4" w:rsidRDefault="00C20791" w:rsidP="00230B77">
      <w:pPr>
        <w:jc w:val="center"/>
        <w:rPr>
          <w:b/>
          <w:sz w:val="36"/>
          <w:lang w:val="uk-UA"/>
        </w:rPr>
      </w:pPr>
      <w:r w:rsidRPr="00C532E2">
        <w:rPr>
          <w:b/>
          <w:sz w:val="36"/>
          <w:lang w:val="uk-UA"/>
        </w:rPr>
        <w:t>з</w:t>
      </w:r>
      <w:r w:rsidR="003517EF" w:rsidRPr="00C532E2">
        <w:rPr>
          <w:b/>
          <w:sz w:val="36"/>
          <w:lang w:val="uk-UA"/>
        </w:rPr>
        <w:t xml:space="preserve"> продажу об’єктів комунальної </w:t>
      </w:r>
      <w:r w:rsidR="000822FC" w:rsidRPr="00C532E2">
        <w:rPr>
          <w:b/>
          <w:sz w:val="36"/>
          <w:lang w:val="uk-UA"/>
        </w:rPr>
        <w:t>власності</w:t>
      </w:r>
    </w:p>
    <w:tbl>
      <w:tblPr>
        <w:tblW w:w="15328" w:type="dxa"/>
        <w:tblInd w:w="-2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977"/>
        <w:gridCol w:w="2551"/>
        <w:gridCol w:w="3544"/>
        <w:gridCol w:w="1134"/>
        <w:gridCol w:w="851"/>
        <w:gridCol w:w="1560"/>
        <w:gridCol w:w="1134"/>
        <w:gridCol w:w="991"/>
      </w:tblGrid>
      <w:tr w:rsidR="00A07921" w:rsidRPr="00C20791" w:rsidTr="00A07921">
        <w:trPr>
          <w:trHeight w:val="899"/>
        </w:trPr>
        <w:tc>
          <w:tcPr>
            <w:tcW w:w="586" w:type="dxa"/>
          </w:tcPr>
          <w:p w:rsidR="00A07921" w:rsidRPr="00C20791" w:rsidRDefault="00A07921" w:rsidP="00AF01A5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№</w:t>
            </w:r>
          </w:p>
          <w:p w:rsidR="00A07921" w:rsidRPr="00C20791" w:rsidRDefault="00821E69" w:rsidP="00AF01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="00A07921" w:rsidRPr="00C20791">
              <w:rPr>
                <w:b/>
                <w:lang w:val="uk-UA"/>
              </w:rPr>
              <w:t>/п</w:t>
            </w:r>
          </w:p>
          <w:p w:rsidR="00A07921" w:rsidRPr="00C20791" w:rsidRDefault="00A07921">
            <w:pPr>
              <w:rPr>
                <w:b/>
                <w:lang w:val="uk-UA"/>
              </w:rPr>
            </w:pPr>
          </w:p>
          <w:p w:rsidR="00A07921" w:rsidRPr="00C20791" w:rsidRDefault="00A07921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A07921" w:rsidRPr="00C20791" w:rsidRDefault="00A07921" w:rsidP="00CD0F0B">
            <w:pPr>
              <w:jc w:val="center"/>
              <w:rPr>
                <w:b/>
                <w:lang w:val="uk-UA"/>
              </w:rPr>
            </w:pPr>
          </w:p>
          <w:p w:rsidR="00A07921" w:rsidRPr="00C20791" w:rsidRDefault="00A07921" w:rsidP="00CD0F0B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Назва</w:t>
            </w:r>
          </w:p>
          <w:p w:rsidR="00A07921" w:rsidRPr="00C20791" w:rsidRDefault="00A07921" w:rsidP="00CD0F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</w:tcPr>
          <w:p w:rsidR="00A07921" w:rsidRPr="00C20791" w:rsidRDefault="00A07921" w:rsidP="00CD0F0B">
            <w:pPr>
              <w:jc w:val="center"/>
              <w:rPr>
                <w:b/>
                <w:lang w:val="uk-UA"/>
              </w:rPr>
            </w:pPr>
          </w:p>
          <w:p w:rsidR="00A07921" w:rsidRPr="00C20791" w:rsidRDefault="00A07921" w:rsidP="00CD0F0B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Адреса</w:t>
            </w:r>
          </w:p>
        </w:tc>
        <w:tc>
          <w:tcPr>
            <w:tcW w:w="3544" w:type="dxa"/>
          </w:tcPr>
          <w:p w:rsidR="00A07921" w:rsidRDefault="00A07921" w:rsidP="00391D40">
            <w:pPr>
              <w:jc w:val="center"/>
              <w:rPr>
                <w:b/>
                <w:lang w:val="uk-UA"/>
              </w:rPr>
            </w:pPr>
          </w:p>
          <w:p w:rsidR="00A07921" w:rsidRPr="00C20791" w:rsidRDefault="00A07921" w:rsidP="00391D40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Об’єкт продажу</w:t>
            </w:r>
          </w:p>
        </w:tc>
        <w:tc>
          <w:tcPr>
            <w:tcW w:w="1134" w:type="dxa"/>
          </w:tcPr>
          <w:p w:rsidR="00A07921" w:rsidRPr="00C20791" w:rsidRDefault="00A07921" w:rsidP="00391D4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C20791">
              <w:rPr>
                <w:b/>
                <w:lang w:val="uk-UA"/>
              </w:rPr>
              <w:t>веден</w:t>
            </w:r>
            <w:r>
              <w:rPr>
                <w:b/>
                <w:lang w:val="uk-UA"/>
              </w:rPr>
              <w:t>ня</w:t>
            </w:r>
          </w:p>
          <w:p w:rsidR="00A07921" w:rsidRPr="00C20791" w:rsidRDefault="00A07921" w:rsidP="00391D40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в дію,</w:t>
            </w:r>
          </w:p>
          <w:p w:rsidR="00A07921" w:rsidRPr="00C20791" w:rsidRDefault="00A07921" w:rsidP="00391D40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:rsidR="00A07921" w:rsidRPr="00C20791" w:rsidRDefault="00A07921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Загальна площа,</w:t>
            </w:r>
          </w:p>
          <w:p w:rsidR="00A07921" w:rsidRPr="00C20791" w:rsidRDefault="00A07921" w:rsidP="00821E69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кв.</w:t>
            </w:r>
            <w:r w:rsidR="00821E69">
              <w:rPr>
                <w:b/>
                <w:lang w:val="uk-UA"/>
              </w:rPr>
              <w:t xml:space="preserve"> </w:t>
            </w:r>
            <w:r w:rsidRPr="00C20791">
              <w:rPr>
                <w:b/>
                <w:lang w:val="uk-UA"/>
              </w:rPr>
              <w:t>м</w:t>
            </w:r>
          </w:p>
        </w:tc>
        <w:tc>
          <w:tcPr>
            <w:tcW w:w="1560" w:type="dxa"/>
          </w:tcPr>
          <w:p w:rsidR="00A07921" w:rsidRPr="00C20791" w:rsidRDefault="00A07921" w:rsidP="00230B77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Початкова ціна продажу з урахуванням</w:t>
            </w:r>
            <w:r w:rsidR="00821E69">
              <w:rPr>
                <w:b/>
                <w:lang w:val="uk-UA"/>
              </w:rPr>
              <w:t xml:space="preserve"> </w:t>
            </w:r>
            <w:r w:rsidRPr="00C20791">
              <w:rPr>
                <w:b/>
                <w:lang w:val="uk-UA"/>
              </w:rPr>
              <w:t>ПДВ,</w:t>
            </w:r>
            <w:r>
              <w:rPr>
                <w:b/>
                <w:lang w:val="uk-UA"/>
              </w:rPr>
              <w:t xml:space="preserve"> </w:t>
            </w:r>
            <w:r w:rsidRPr="00C20791">
              <w:rPr>
                <w:b/>
                <w:lang w:val="uk-UA"/>
              </w:rPr>
              <w:t>грн.</w:t>
            </w:r>
          </w:p>
        </w:tc>
        <w:tc>
          <w:tcPr>
            <w:tcW w:w="1134" w:type="dxa"/>
          </w:tcPr>
          <w:p w:rsidR="00A07921" w:rsidRPr="00C20791" w:rsidRDefault="00A07921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Сума</w:t>
            </w:r>
          </w:p>
          <w:p w:rsidR="00A07921" w:rsidRPr="00C20791" w:rsidRDefault="00A07921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застави,</w:t>
            </w:r>
          </w:p>
          <w:p w:rsidR="00A07921" w:rsidRPr="00C20791" w:rsidRDefault="00A07921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 xml:space="preserve"> грн.</w:t>
            </w:r>
          </w:p>
        </w:tc>
        <w:tc>
          <w:tcPr>
            <w:tcW w:w="991" w:type="dxa"/>
          </w:tcPr>
          <w:p w:rsidR="00A07921" w:rsidRPr="00C20791" w:rsidRDefault="00A07921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Умови</w:t>
            </w:r>
          </w:p>
          <w:p w:rsidR="00A07921" w:rsidRPr="00C20791" w:rsidRDefault="00A07921">
            <w:pPr>
              <w:jc w:val="center"/>
              <w:rPr>
                <w:b/>
                <w:lang w:val="uk-UA"/>
              </w:rPr>
            </w:pPr>
            <w:r w:rsidRPr="00C20791">
              <w:rPr>
                <w:b/>
                <w:lang w:val="uk-UA"/>
              </w:rPr>
              <w:t>продажу</w:t>
            </w:r>
          </w:p>
        </w:tc>
      </w:tr>
      <w:tr w:rsidR="00A07921" w:rsidRPr="00C20791" w:rsidTr="00A07921">
        <w:trPr>
          <w:trHeight w:val="569"/>
        </w:trPr>
        <w:tc>
          <w:tcPr>
            <w:tcW w:w="586" w:type="dxa"/>
          </w:tcPr>
          <w:p w:rsidR="00A07921" w:rsidRPr="00417EB3" w:rsidRDefault="00A07921" w:rsidP="00417EB3">
            <w:pPr>
              <w:ind w:left="36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977" w:type="dxa"/>
          </w:tcPr>
          <w:p w:rsidR="00A07921" w:rsidRPr="00C20791" w:rsidRDefault="00A07921" w:rsidP="00F23F6C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Нежитлове</w:t>
            </w:r>
            <w:r w:rsidR="00821E69">
              <w:rPr>
                <w:sz w:val="22"/>
                <w:lang w:val="uk-UA"/>
              </w:rPr>
              <w:t xml:space="preserve"> </w:t>
            </w:r>
            <w:r w:rsidRPr="00C20791">
              <w:rPr>
                <w:sz w:val="22"/>
                <w:lang w:val="uk-UA"/>
              </w:rPr>
              <w:t>приміщення</w:t>
            </w:r>
          </w:p>
          <w:p w:rsidR="00A07921" w:rsidRPr="00C20791" w:rsidRDefault="00A07921" w:rsidP="008E5E7D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 xml:space="preserve">загальною площею </w:t>
            </w:r>
            <w:r>
              <w:rPr>
                <w:sz w:val="22"/>
                <w:lang w:val="uk-UA"/>
              </w:rPr>
              <w:t>4,4</w:t>
            </w:r>
            <w:r w:rsidRPr="00C20791">
              <w:rPr>
                <w:sz w:val="22"/>
                <w:lang w:val="uk-UA"/>
              </w:rPr>
              <w:t xml:space="preserve"> кв.</w:t>
            </w:r>
            <w:r w:rsidR="00821E69">
              <w:rPr>
                <w:sz w:val="22"/>
                <w:lang w:val="uk-UA"/>
              </w:rPr>
              <w:t xml:space="preserve"> </w:t>
            </w:r>
            <w:r w:rsidRPr="00C20791">
              <w:rPr>
                <w:sz w:val="22"/>
                <w:lang w:val="uk-UA"/>
              </w:rPr>
              <w:t>м</w:t>
            </w:r>
          </w:p>
        </w:tc>
        <w:tc>
          <w:tcPr>
            <w:tcW w:w="2551" w:type="dxa"/>
          </w:tcPr>
          <w:p w:rsidR="00A07921" w:rsidRPr="00C20791" w:rsidRDefault="00A07921" w:rsidP="00F23F6C">
            <w:pPr>
              <w:ind w:left="360" w:hanging="360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м. Сєвєродонецьк</w:t>
            </w:r>
            <w:r w:rsidR="00821E69">
              <w:rPr>
                <w:sz w:val="22"/>
                <w:lang w:val="uk-UA"/>
              </w:rPr>
              <w:t>,</w:t>
            </w:r>
          </w:p>
          <w:p w:rsidR="00A07921" w:rsidRPr="00C20791" w:rsidRDefault="00A07921" w:rsidP="008E5E7D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пр</w:t>
            </w:r>
            <w:r w:rsidR="00821E69">
              <w:rPr>
                <w:sz w:val="22"/>
                <w:lang w:val="uk-UA"/>
              </w:rPr>
              <w:t>осп</w:t>
            </w:r>
            <w:r w:rsidRPr="00C20791">
              <w:rPr>
                <w:sz w:val="22"/>
                <w:lang w:val="uk-UA"/>
              </w:rPr>
              <w:t xml:space="preserve">. </w:t>
            </w:r>
            <w:r>
              <w:rPr>
                <w:sz w:val="22"/>
                <w:lang w:val="uk-UA"/>
              </w:rPr>
              <w:t>Гвардійський,</w:t>
            </w:r>
            <w:r w:rsidR="00821E69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59</w:t>
            </w:r>
          </w:p>
        </w:tc>
        <w:tc>
          <w:tcPr>
            <w:tcW w:w="3544" w:type="dxa"/>
          </w:tcPr>
          <w:p w:rsidR="00A07921" w:rsidRPr="00C20791" w:rsidRDefault="00821E69" w:rsidP="00821E6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  <w:r w:rsidR="00A07921">
              <w:rPr>
                <w:sz w:val="22"/>
                <w:lang w:val="uk-UA"/>
              </w:rPr>
              <w:t>ежитлове вбудоване</w:t>
            </w:r>
            <w:r>
              <w:rPr>
                <w:sz w:val="22"/>
                <w:lang w:val="uk-UA"/>
              </w:rPr>
              <w:t xml:space="preserve"> </w:t>
            </w:r>
            <w:r w:rsidR="00A07921" w:rsidRPr="00C20791">
              <w:rPr>
                <w:sz w:val="22"/>
                <w:lang w:val="uk-UA"/>
              </w:rPr>
              <w:t xml:space="preserve">приміщення </w:t>
            </w:r>
            <w:r w:rsidR="00A07921">
              <w:rPr>
                <w:sz w:val="22"/>
                <w:lang w:val="uk-UA"/>
              </w:rPr>
              <w:t>на 1-му поверсі 9-</w:t>
            </w:r>
            <w:r w:rsidR="00A07921" w:rsidRPr="00C20791">
              <w:rPr>
                <w:sz w:val="22"/>
                <w:lang w:val="uk-UA"/>
              </w:rPr>
              <w:t xml:space="preserve">поверхового житлового будинку </w:t>
            </w:r>
          </w:p>
        </w:tc>
        <w:tc>
          <w:tcPr>
            <w:tcW w:w="1134" w:type="dxa"/>
          </w:tcPr>
          <w:p w:rsidR="00A07921" w:rsidRPr="008E5E7D" w:rsidRDefault="00A07921">
            <w:pPr>
              <w:jc w:val="center"/>
              <w:rPr>
                <w:sz w:val="22"/>
                <w:highlight w:val="yellow"/>
                <w:lang w:val="uk-UA"/>
              </w:rPr>
            </w:pPr>
            <w:r w:rsidRPr="007F2FDF">
              <w:rPr>
                <w:sz w:val="22"/>
                <w:lang w:val="uk-UA"/>
              </w:rPr>
              <w:t>1973</w:t>
            </w:r>
          </w:p>
        </w:tc>
        <w:tc>
          <w:tcPr>
            <w:tcW w:w="851" w:type="dxa"/>
          </w:tcPr>
          <w:p w:rsidR="00A07921" w:rsidRPr="00C20791" w:rsidRDefault="00A07921" w:rsidP="00BC2F52">
            <w:pPr>
              <w:ind w:left="-160" w:firstLine="16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4,4</w:t>
            </w:r>
          </w:p>
        </w:tc>
        <w:tc>
          <w:tcPr>
            <w:tcW w:w="1560" w:type="dxa"/>
          </w:tcPr>
          <w:p w:rsidR="00A07921" w:rsidRPr="00C20791" w:rsidRDefault="00506837" w:rsidP="006666D4">
            <w:pPr>
              <w:ind w:left="46" w:hanging="46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9 992,40</w:t>
            </w:r>
            <w:r w:rsidR="00A0792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07921" w:rsidRPr="00C20791" w:rsidRDefault="00506837" w:rsidP="006666D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999,24</w:t>
            </w:r>
          </w:p>
        </w:tc>
        <w:tc>
          <w:tcPr>
            <w:tcW w:w="991" w:type="dxa"/>
          </w:tcPr>
          <w:p w:rsidR="00A07921" w:rsidRDefault="00A07921" w:rsidP="00352A49">
            <w:pPr>
              <w:jc w:val="center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1-1</w:t>
            </w:r>
            <w:r>
              <w:rPr>
                <w:sz w:val="22"/>
                <w:lang w:val="uk-UA"/>
              </w:rPr>
              <w:t>1</w:t>
            </w:r>
          </w:p>
          <w:p w:rsidR="00A07921" w:rsidRPr="00C20791" w:rsidRDefault="00A07921" w:rsidP="00352A49">
            <w:pPr>
              <w:jc w:val="center"/>
              <w:rPr>
                <w:sz w:val="22"/>
                <w:lang w:val="uk-UA"/>
              </w:rPr>
            </w:pPr>
          </w:p>
        </w:tc>
      </w:tr>
      <w:tr w:rsidR="00A07921" w:rsidRPr="00C20791" w:rsidTr="00A07921">
        <w:trPr>
          <w:trHeight w:val="539"/>
        </w:trPr>
        <w:tc>
          <w:tcPr>
            <w:tcW w:w="586" w:type="dxa"/>
          </w:tcPr>
          <w:p w:rsidR="00A07921" w:rsidRDefault="00E047DC" w:rsidP="00417EB3">
            <w:pPr>
              <w:ind w:left="36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977" w:type="dxa"/>
          </w:tcPr>
          <w:p w:rsidR="00A07921" w:rsidRPr="00C20791" w:rsidRDefault="00A07921" w:rsidP="002B50D6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Нежитлове</w:t>
            </w:r>
            <w:r w:rsidR="00821E69">
              <w:rPr>
                <w:sz w:val="22"/>
                <w:lang w:val="uk-UA"/>
              </w:rPr>
              <w:t xml:space="preserve"> </w:t>
            </w:r>
            <w:r w:rsidRPr="00C20791">
              <w:rPr>
                <w:sz w:val="22"/>
                <w:lang w:val="uk-UA"/>
              </w:rPr>
              <w:t>приміщення</w:t>
            </w:r>
          </w:p>
          <w:p w:rsidR="00A07921" w:rsidRPr="00C20791" w:rsidRDefault="00A07921" w:rsidP="000660F9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 xml:space="preserve">загальною площею </w:t>
            </w:r>
            <w:r>
              <w:rPr>
                <w:sz w:val="22"/>
                <w:lang w:val="uk-UA"/>
              </w:rPr>
              <w:t>119,4</w:t>
            </w:r>
            <w:r w:rsidRPr="00C20791">
              <w:rPr>
                <w:sz w:val="22"/>
                <w:lang w:val="uk-UA"/>
              </w:rPr>
              <w:t xml:space="preserve"> кв.</w:t>
            </w:r>
            <w:r w:rsidR="00821E69">
              <w:rPr>
                <w:sz w:val="22"/>
                <w:lang w:val="uk-UA"/>
              </w:rPr>
              <w:t xml:space="preserve"> </w:t>
            </w:r>
            <w:r w:rsidRPr="00C20791">
              <w:rPr>
                <w:sz w:val="22"/>
                <w:lang w:val="uk-UA"/>
              </w:rPr>
              <w:t>м</w:t>
            </w:r>
          </w:p>
        </w:tc>
        <w:tc>
          <w:tcPr>
            <w:tcW w:w="2551" w:type="dxa"/>
          </w:tcPr>
          <w:p w:rsidR="00A07921" w:rsidRPr="00C20791" w:rsidRDefault="00A07921" w:rsidP="002B50D6">
            <w:pPr>
              <w:ind w:left="360" w:hanging="360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м. Сєвєродонецьк</w:t>
            </w:r>
            <w:r w:rsidR="00821E69">
              <w:rPr>
                <w:sz w:val="22"/>
                <w:lang w:val="uk-UA"/>
              </w:rPr>
              <w:t>,</w:t>
            </w:r>
          </w:p>
          <w:p w:rsidR="00A07921" w:rsidRPr="00C20791" w:rsidRDefault="00A07921" w:rsidP="00821E69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 xml:space="preserve">вул. </w:t>
            </w:r>
            <w:r>
              <w:rPr>
                <w:sz w:val="22"/>
                <w:lang w:val="uk-UA"/>
              </w:rPr>
              <w:t>Федоренк</w:t>
            </w:r>
            <w:r w:rsidR="00821E69">
              <w:rPr>
                <w:sz w:val="22"/>
                <w:lang w:val="uk-UA"/>
              </w:rPr>
              <w:t>а</w:t>
            </w:r>
            <w:r>
              <w:rPr>
                <w:sz w:val="22"/>
                <w:lang w:val="uk-UA"/>
              </w:rPr>
              <w:t>,</w:t>
            </w:r>
            <w:r w:rsidR="00821E69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49-а/2</w:t>
            </w:r>
          </w:p>
        </w:tc>
        <w:tc>
          <w:tcPr>
            <w:tcW w:w="3544" w:type="dxa"/>
          </w:tcPr>
          <w:p w:rsidR="00A07921" w:rsidRPr="001E57AA" w:rsidRDefault="00A07921" w:rsidP="00821E69">
            <w:pPr>
              <w:rPr>
                <w:sz w:val="22"/>
                <w:szCs w:val="22"/>
                <w:lang w:val="uk-UA"/>
              </w:rPr>
            </w:pPr>
            <w:r w:rsidRPr="001E57AA">
              <w:rPr>
                <w:sz w:val="22"/>
                <w:szCs w:val="22"/>
                <w:lang w:val="uk-UA"/>
              </w:rPr>
              <w:t xml:space="preserve">нежитлове вбудоване приміщення, </w:t>
            </w:r>
            <w:r>
              <w:rPr>
                <w:sz w:val="22"/>
                <w:szCs w:val="22"/>
                <w:lang w:val="uk-UA"/>
              </w:rPr>
              <w:t>розташоване на 1-ому поверсі 4-</w:t>
            </w:r>
            <w:r w:rsidRPr="001E57AA">
              <w:rPr>
                <w:sz w:val="22"/>
                <w:szCs w:val="22"/>
                <w:lang w:val="uk-UA"/>
              </w:rPr>
              <w:t xml:space="preserve">поверхового </w:t>
            </w:r>
            <w:r>
              <w:rPr>
                <w:sz w:val="22"/>
                <w:szCs w:val="22"/>
                <w:lang w:val="uk-UA"/>
              </w:rPr>
              <w:t>житлового гуртожитку</w:t>
            </w:r>
          </w:p>
        </w:tc>
        <w:tc>
          <w:tcPr>
            <w:tcW w:w="1134" w:type="dxa"/>
          </w:tcPr>
          <w:p w:rsidR="00A07921" w:rsidRPr="007F2FDF" w:rsidRDefault="00A07921" w:rsidP="002B50D6">
            <w:pPr>
              <w:jc w:val="center"/>
              <w:rPr>
                <w:sz w:val="22"/>
                <w:lang w:val="uk-UA"/>
              </w:rPr>
            </w:pPr>
            <w:r w:rsidRPr="007F2FDF">
              <w:rPr>
                <w:sz w:val="22"/>
                <w:lang w:val="uk-UA"/>
              </w:rPr>
              <w:t>1960</w:t>
            </w:r>
          </w:p>
          <w:p w:rsidR="00A07921" w:rsidRPr="008E5E7D" w:rsidRDefault="00A07921" w:rsidP="002B50D6">
            <w:pPr>
              <w:jc w:val="center"/>
              <w:rPr>
                <w:sz w:val="22"/>
                <w:highlight w:val="yellow"/>
                <w:lang w:val="uk-UA"/>
              </w:rPr>
            </w:pPr>
          </w:p>
          <w:p w:rsidR="00A07921" w:rsidRPr="008E5E7D" w:rsidRDefault="00A07921" w:rsidP="002B50D6">
            <w:pPr>
              <w:jc w:val="center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:rsidR="00A07921" w:rsidRPr="00C20791" w:rsidRDefault="00A07921" w:rsidP="002B50D6">
            <w:pPr>
              <w:ind w:left="-160" w:firstLine="16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119,4</w:t>
            </w:r>
          </w:p>
        </w:tc>
        <w:tc>
          <w:tcPr>
            <w:tcW w:w="1560" w:type="dxa"/>
          </w:tcPr>
          <w:p w:rsidR="00A07921" w:rsidRPr="00C20791" w:rsidRDefault="00506837" w:rsidP="002B50D6">
            <w:pPr>
              <w:ind w:left="46" w:hanging="46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126 588,40</w:t>
            </w:r>
          </w:p>
        </w:tc>
        <w:tc>
          <w:tcPr>
            <w:tcW w:w="1134" w:type="dxa"/>
          </w:tcPr>
          <w:p w:rsidR="00A07921" w:rsidRPr="00C20791" w:rsidRDefault="00506837" w:rsidP="002B50D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  <w:r w:rsidR="00E047DC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658,8</w:t>
            </w:r>
            <w:r w:rsidR="00E047DC">
              <w:rPr>
                <w:sz w:val="22"/>
                <w:lang w:val="uk-UA"/>
              </w:rPr>
              <w:t>4</w:t>
            </w:r>
          </w:p>
        </w:tc>
        <w:tc>
          <w:tcPr>
            <w:tcW w:w="991" w:type="dxa"/>
          </w:tcPr>
          <w:p w:rsidR="00A07921" w:rsidRPr="00C20791" w:rsidRDefault="00A07921" w:rsidP="00A16716">
            <w:pPr>
              <w:jc w:val="center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–</w:t>
            </w:r>
            <w:r w:rsidRPr="00C20791">
              <w:rPr>
                <w:sz w:val="22"/>
                <w:lang w:val="uk-UA"/>
              </w:rPr>
              <w:t>1</w:t>
            </w:r>
            <w:r w:rsidR="00A16716">
              <w:rPr>
                <w:sz w:val="22"/>
                <w:lang w:val="uk-UA"/>
              </w:rPr>
              <w:t>2</w:t>
            </w:r>
          </w:p>
        </w:tc>
      </w:tr>
      <w:tr w:rsidR="00A07921" w:rsidRPr="00C20791" w:rsidTr="00A07921">
        <w:trPr>
          <w:trHeight w:val="539"/>
        </w:trPr>
        <w:tc>
          <w:tcPr>
            <w:tcW w:w="586" w:type="dxa"/>
          </w:tcPr>
          <w:p w:rsidR="00A07921" w:rsidRDefault="00E047DC" w:rsidP="00417EB3">
            <w:pPr>
              <w:ind w:left="36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977" w:type="dxa"/>
          </w:tcPr>
          <w:p w:rsidR="00A07921" w:rsidRPr="00C20791" w:rsidRDefault="00A07921" w:rsidP="00D37A89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Нежитлове приміщення</w:t>
            </w:r>
          </w:p>
          <w:p w:rsidR="00A07921" w:rsidRPr="00C20791" w:rsidRDefault="00A07921" w:rsidP="00D37A89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 xml:space="preserve">загальною площею </w:t>
            </w:r>
            <w:r>
              <w:rPr>
                <w:sz w:val="22"/>
                <w:lang w:val="uk-UA"/>
              </w:rPr>
              <w:t>154</w:t>
            </w:r>
            <w:r w:rsidRPr="00C20791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>9</w:t>
            </w:r>
            <w:r w:rsidRPr="00C20791">
              <w:rPr>
                <w:sz w:val="22"/>
                <w:lang w:val="uk-UA"/>
              </w:rPr>
              <w:t xml:space="preserve"> кв.</w:t>
            </w:r>
            <w:r w:rsidR="00821E69">
              <w:rPr>
                <w:sz w:val="22"/>
                <w:lang w:val="uk-UA"/>
              </w:rPr>
              <w:t xml:space="preserve"> </w:t>
            </w:r>
            <w:r w:rsidRPr="00C20791">
              <w:rPr>
                <w:sz w:val="22"/>
                <w:lang w:val="uk-UA"/>
              </w:rPr>
              <w:t>м</w:t>
            </w:r>
          </w:p>
        </w:tc>
        <w:tc>
          <w:tcPr>
            <w:tcW w:w="2551" w:type="dxa"/>
          </w:tcPr>
          <w:p w:rsidR="00A07921" w:rsidRPr="00C20791" w:rsidRDefault="00A07921" w:rsidP="00D37A89">
            <w:pPr>
              <w:ind w:left="360" w:hanging="360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м. Сєвєродонецьк</w:t>
            </w:r>
            <w:r w:rsidR="00821E69">
              <w:rPr>
                <w:sz w:val="22"/>
                <w:lang w:val="uk-UA"/>
              </w:rPr>
              <w:t>,</w:t>
            </w:r>
          </w:p>
          <w:p w:rsidR="00A07921" w:rsidRPr="00C20791" w:rsidRDefault="00A07921" w:rsidP="00D37A8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вул</w:t>
            </w:r>
            <w:r w:rsidRPr="00C20791">
              <w:rPr>
                <w:sz w:val="22"/>
                <w:lang w:val="uk-UA"/>
              </w:rPr>
              <w:t xml:space="preserve">. </w:t>
            </w:r>
            <w:r>
              <w:rPr>
                <w:sz w:val="22"/>
                <w:lang w:val="uk-UA"/>
              </w:rPr>
              <w:t>Партизанська</w:t>
            </w:r>
            <w:r w:rsidRPr="00C20791">
              <w:rPr>
                <w:sz w:val="22"/>
                <w:lang w:val="uk-UA"/>
              </w:rPr>
              <w:t xml:space="preserve">, </w:t>
            </w:r>
            <w:r>
              <w:rPr>
                <w:sz w:val="22"/>
                <w:lang w:val="uk-UA"/>
              </w:rPr>
              <w:t>2/9</w:t>
            </w:r>
          </w:p>
        </w:tc>
        <w:tc>
          <w:tcPr>
            <w:tcW w:w="3544" w:type="dxa"/>
          </w:tcPr>
          <w:p w:rsidR="00A07921" w:rsidRPr="001E57AA" w:rsidRDefault="00A07921" w:rsidP="00821E69">
            <w:pPr>
              <w:rPr>
                <w:sz w:val="22"/>
                <w:szCs w:val="22"/>
                <w:lang w:val="uk-UA"/>
              </w:rPr>
            </w:pPr>
            <w:r w:rsidRPr="001E57AA">
              <w:rPr>
                <w:sz w:val="22"/>
                <w:szCs w:val="22"/>
                <w:lang w:val="uk-UA"/>
              </w:rPr>
              <w:t xml:space="preserve">нежитлове вбудоване приміщення, розташоване на 2-ому поверсі 2-поверхового </w:t>
            </w:r>
            <w:r>
              <w:rPr>
                <w:sz w:val="22"/>
                <w:szCs w:val="22"/>
                <w:lang w:val="uk-UA"/>
              </w:rPr>
              <w:t xml:space="preserve">шлакоблочного </w:t>
            </w:r>
            <w:r w:rsidRPr="001E57AA">
              <w:rPr>
                <w:sz w:val="22"/>
                <w:szCs w:val="22"/>
                <w:lang w:val="uk-UA"/>
              </w:rPr>
              <w:t xml:space="preserve">житлового будинку </w:t>
            </w:r>
          </w:p>
        </w:tc>
        <w:tc>
          <w:tcPr>
            <w:tcW w:w="1134" w:type="dxa"/>
          </w:tcPr>
          <w:p w:rsidR="00A07921" w:rsidRPr="00C20791" w:rsidRDefault="00A07921" w:rsidP="00D37A89">
            <w:pPr>
              <w:jc w:val="center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19</w:t>
            </w:r>
            <w:r>
              <w:rPr>
                <w:sz w:val="22"/>
                <w:lang w:val="uk-UA"/>
              </w:rPr>
              <w:t>3</w:t>
            </w:r>
            <w:r w:rsidRPr="00C20791">
              <w:rPr>
                <w:sz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A07921" w:rsidRPr="00C20791" w:rsidRDefault="00A07921" w:rsidP="00D37A89">
            <w:pPr>
              <w:ind w:left="-160" w:firstLine="16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154,9</w:t>
            </w:r>
          </w:p>
        </w:tc>
        <w:tc>
          <w:tcPr>
            <w:tcW w:w="1560" w:type="dxa"/>
          </w:tcPr>
          <w:p w:rsidR="00A07921" w:rsidRPr="00C20791" w:rsidRDefault="00506837" w:rsidP="00D37A89">
            <w:pPr>
              <w:ind w:left="46" w:hanging="46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130 084,80</w:t>
            </w:r>
            <w:r w:rsidR="00A0792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07921" w:rsidRPr="00C20791" w:rsidRDefault="00506837" w:rsidP="00D37A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  <w:r w:rsidR="00E047DC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008,48</w:t>
            </w:r>
          </w:p>
        </w:tc>
        <w:tc>
          <w:tcPr>
            <w:tcW w:w="991" w:type="dxa"/>
          </w:tcPr>
          <w:p w:rsidR="00A07921" w:rsidRPr="00C20791" w:rsidRDefault="00A07921" w:rsidP="00D37A89">
            <w:pPr>
              <w:jc w:val="center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1-1</w:t>
            </w:r>
            <w:r>
              <w:rPr>
                <w:sz w:val="22"/>
                <w:lang w:val="uk-UA"/>
              </w:rPr>
              <w:t>1</w:t>
            </w:r>
          </w:p>
        </w:tc>
      </w:tr>
      <w:tr w:rsidR="00E047DC" w:rsidRPr="00C20791" w:rsidTr="00A07921">
        <w:trPr>
          <w:trHeight w:val="539"/>
        </w:trPr>
        <w:tc>
          <w:tcPr>
            <w:tcW w:w="586" w:type="dxa"/>
          </w:tcPr>
          <w:p w:rsidR="00E047DC" w:rsidRDefault="00E047DC" w:rsidP="00417EB3">
            <w:pPr>
              <w:ind w:left="36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977" w:type="dxa"/>
          </w:tcPr>
          <w:p w:rsidR="00E047DC" w:rsidRPr="00C20791" w:rsidRDefault="00E047DC" w:rsidP="00E047D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Господарська споруда</w:t>
            </w:r>
            <w:r w:rsidR="00AC0632">
              <w:rPr>
                <w:sz w:val="22"/>
                <w:lang w:val="uk-UA"/>
              </w:rPr>
              <w:t xml:space="preserve"> №320</w:t>
            </w:r>
          </w:p>
          <w:p w:rsidR="00E047DC" w:rsidRPr="00C20791" w:rsidRDefault="00E047DC" w:rsidP="00E047DC">
            <w:pPr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 xml:space="preserve">загальною площею </w:t>
            </w:r>
            <w:r>
              <w:rPr>
                <w:sz w:val="22"/>
                <w:lang w:val="uk-UA"/>
              </w:rPr>
              <w:t>54</w:t>
            </w:r>
            <w:r w:rsidRPr="00C20791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>4</w:t>
            </w:r>
            <w:r w:rsidRPr="00C20791">
              <w:rPr>
                <w:sz w:val="22"/>
                <w:lang w:val="uk-UA"/>
              </w:rPr>
              <w:t xml:space="preserve"> кв.</w:t>
            </w:r>
            <w:r w:rsidR="00821E69">
              <w:rPr>
                <w:sz w:val="22"/>
                <w:lang w:val="uk-UA"/>
              </w:rPr>
              <w:t xml:space="preserve"> </w:t>
            </w:r>
            <w:r w:rsidRPr="00C20791">
              <w:rPr>
                <w:sz w:val="22"/>
                <w:lang w:val="uk-UA"/>
              </w:rPr>
              <w:t>м</w:t>
            </w:r>
          </w:p>
        </w:tc>
        <w:tc>
          <w:tcPr>
            <w:tcW w:w="2551" w:type="dxa"/>
          </w:tcPr>
          <w:p w:rsidR="00E047DC" w:rsidRPr="00C20791" w:rsidRDefault="00E047DC" w:rsidP="00E047DC">
            <w:pPr>
              <w:ind w:left="360" w:hanging="360"/>
              <w:rPr>
                <w:sz w:val="22"/>
                <w:lang w:val="uk-UA"/>
              </w:rPr>
            </w:pPr>
            <w:r w:rsidRPr="00C20791">
              <w:rPr>
                <w:sz w:val="22"/>
                <w:lang w:val="uk-UA"/>
              </w:rPr>
              <w:t>м. Сєвєродонецьк</w:t>
            </w:r>
            <w:r w:rsidR="00821E69">
              <w:rPr>
                <w:sz w:val="22"/>
                <w:lang w:val="uk-UA"/>
              </w:rPr>
              <w:t>,</w:t>
            </w:r>
          </w:p>
          <w:p w:rsidR="00E047DC" w:rsidRPr="00C20791" w:rsidRDefault="00821E69" w:rsidP="00821E6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квартал 24 (в районі б-ру</w:t>
            </w:r>
            <w:r w:rsidR="00E047DC">
              <w:rPr>
                <w:sz w:val="22"/>
                <w:lang w:val="uk-UA"/>
              </w:rPr>
              <w:t xml:space="preserve"> Дружби народів, 43)</w:t>
            </w:r>
          </w:p>
        </w:tc>
        <w:tc>
          <w:tcPr>
            <w:tcW w:w="3544" w:type="dxa"/>
          </w:tcPr>
          <w:p w:rsidR="00E047DC" w:rsidRPr="001E57AA" w:rsidRDefault="00821E69" w:rsidP="00D37A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="00E047DC">
              <w:rPr>
                <w:sz w:val="22"/>
                <w:szCs w:val="22"/>
                <w:lang w:val="uk-UA"/>
              </w:rPr>
              <w:t>дноповерхова господарська споруда</w:t>
            </w:r>
          </w:p>
        </w:tc>
        <w:tc>
          <w:tcPr>
            <w:tcW w:w="1134" w:type="dxa"/>
          </w:tcPr>
          <w:p w:rsidR="00E047DC" w:rsidRPr="00C20791" w:rsidRDefault="00E047DC" w:rsidP="00D37A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1953</w:t>
            </w:r>
          </w:p>
        </w:tc>
        <w:tc>
          <w:tcPr>
            <w:tcW w:w="851" w:type="dxa"/>
          </w:tcPr>
          <w:p w:rsidR="00E047DC" w:rsidRDefault="00E047DC" w:rsidP="00D37A89">
            <w:pPr>
              <w:ind w:left="-160" w:firstLine="16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54,4</w:t>
            </w:r>
          </w:p>
        </w:tc>
        <w:tc>
          <w:tcPr>
            <w:tcW w:w="1560" w:type="dxa"/>
          </w:tcPr>
          <w:p w:rsidR="00E047DC" w:rsidRDefault="00AC0632" w:rsidP="00D37A89">
            <w:pPr>
              <w:ind w:left="46" w:hanging="46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31 628</w:t>
            </w:r>
            <w:r w:rsidR="00E047DC">
              <w:rPr>
                <w:b/>
                <w:sz w:val="22"/>
                <w:lang w:val="uk-UA"/>
              </w:rPr>
              <w:t>,40</w:t>
            </w:r>
          </w:p>
        </w:tc>
        <w:tc>
          <w:tcPr>
            <w:tcW w:w="1134" w:type="dxa"/>
          </w:tcPr>
          <w:p w:rsidR="00E047DC" w:rsidRDefault="00E047DC" w:rsidP="00D37A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3 162,</w:t>
            </w:r>
            <w:r w:rsidR="00AC0632">
              <w:rPr>
                <w:sz w:val="22"/>
                <w:lang w:val="uk-UA"/>
              </w:rPr>
              <w:t>84</w:t>
            </w:r>
          </w:p>
        </w:tc>
        <w:tc>
          <w:tcPr>
            <w:tcW w:w="991" w:type="dxa"/>
          </w:tcPr>
          <w:p w:rsidR="00E047DC" w:rsidRPr="00C20791" w:rsidRDefault="00E047DC" w:rsidP="00D37A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1-11</w:t>
            </w:r>
          </w:p>
        </w:tc>
      </w:tr>
    </w:tbl>
    <w:p w:rsidR="00CA0268" w:rsidRPr="00C20791" w:rsidRDefault="002A4681" w:rsidP="00102F70">
      <w:pPr>
        <w:tabs>
          <w:tab w:val="left" w:pos="851"/>
        </w:tabs>
        <w:spacing w:after="120"/>
        <w:ind w:right="-369"/>
        <w:jc w:val="center"/>
        <w:rPr>
          <w:b/>
          <w:sz w:val="24"/>
          <w:szCs w:val="24"/>
          <w:lang w:val="uk-UA"/>
        </w:rPr>
      </w:pPr>
      <w:r w:rsidRPr="00C20791">
        <w:rPr>
          <w:b/>
          <w:sz w:val="24"/>
          <w:szCs w:val="24"/>
          <w:lang w:val="uk-UA"/>
        </w:rPr>
        <w:t>УМОВИ ПРОДАЖУ:</w:t>
      </w:r>
    </w:p>
    <w:p w:rsidR="00151468" w:rsidRDefault="00224B9A" w:rsidP="00FB2F61">
      <w:pPr>
        <w:ind w:left="720" w:hanging="11"/>
        <w:rPr>
          <w:sz w:val="22"/>
          <w:lang w:val="uk-UA"/>
        </w:rPr>
      </w:pPr>
      <w:r w:rsidRPr="00C20791">
        <w:rPr>
          <w:sz w:val="24"/>
          <w:szCs w:val="24"/>
          <w:lang w:val="uk-UA"/>
        </w:rPr>
        <w:t>1. Подальше використання об’єкта відчуження визначає Покупець згідно з чинним законодавством</w:t>
      </w:r>
      <w:r w:rsidR="00821E69">
        <w:rPr>
          <w:sz w:val="24"/>
          <w:szCs w:val="24"/>
          <w:lang w:val="uk-UA"/>
        </w:rPr>
        <w:t>.</w:t>
      </w:r>
      <w:r w:rsidR="00151468" w:rsidRPr="00151468">
        <w:rPr>
          <w:sz w:val="22"/>
        </w:rPr>
        <w:t xml:space="preserve"> </w:t>
      </w:r>
    </w:p>
    <w:p w:rsidR="00224B9A" w:rsidRPr="00C20791" w:rsidRDefault="00224B9A" w:rsidP="00FB2F61">
      <w:pPr>
        <w:ind w:firstLine="709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2. Проведення реконструкції об’єкт</w:t>
      </w:r>
      <w:r w:rsidR="00821E69">
        <w:rPr>
          <w:sz w:val="24"/>
          <w:szCs w:val="24"/>
          <w:lang w:val="uk-UA"/>
        </w:rPr>
        <w:t>а</w:t>
      </w:r>
      <w:r w:rsidRPr="00C20791">
        <w:rPr>
          <w:sz w:val="24"/>
          <w:szCs w:val="24"/>
          <w:lang w:val="uk-UA"/>
        </w:rPr>
        <w:t xml:space="preserve"> з обов’язковим погодженням проектно-кошторисної документації</w:t>
      </w:r>
      <w:r w:rsidR="00821E69">
        <w:rPr>
          <w:sz w:val="24"/>
          <w:szCs w:val="24"/>
          <w:lang w:val="uk-UA"/>
        </w:rPr>
        <w:t xml:space="preserve"> згідно з чинним законодавством.</w:t>
      </w:r>
    </w:p>
    <w:p w:rsidR="00224B9A" w:rsidRPr="00C20791" w:rsidRDefault="00224B9A" w:rsidP="00FB2F61">
      <w:pPr>
        <w:pStyle w:val="a5"/>
        <w:ind w:left="720" w:hanging="11"/>
        <w:jc w:val="left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3. Утримання об’єкта та прилеглої до нього території в належ</w:t>
      </w:r>
      <w:r w:rsidR="00821E69">
        <w:rPr>
          <w:sz w:val="24"/>
          <w:szCs w:val="24"/>
          <w:lang w:val="uk-UA"/>
        </w:rPr>
        <w:t>ному санітарно-технічному стані.</w:t>
      </w:r>
    </w:p>
    <w:p w:rsidR="00224B9A" w:rsidRPr="00C20791" w:rsidRDefault="00224B9A" w:rsidP="00FB2F61">
      <w:pPr>
        <w:ind w:left="709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 xml:space="preserve">4. Дотримання екологічної безпеки людей, нормативів шкідливих впливів на навколишнє середовище, раціональне </w:t>
      </w:r>
      <w:r w:rsidR="00821E69">
        <w:rPr>
          <w:sz w:val="24"/>
          <w:szCs w:val="24"/>
          <w:lang w:val="uk-UA"/>
        </w:rPr>
        <w:t>використання природних ресурсів.</w:t>
      </w:r>
    </w:p>
    <w:p w:rsidR="00224B9A" w:rsidRPr="00C20791" w:rsidRDefault="00224B9A" w:rsidP="00FB2F61">
      <w:pPr>
        <w:ind w:left="720" w:hanging="11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5.</w:t>
      </w:r>
      <w:r w:rsidR="00413A4E" w:rsidRPr="00C20791">
        <w:rPr>
          <w:sz w:val="24"/>
          <w:szCs w:val="24"/>
          <w:lang w:val="uk-UA"/>
        </w:rPr>
        <w:t xml:space="preserve"> </w:t>
      </w:r>
      <w:r w:rsidRPr="00C20791">
        <w:rPr>
          <w:sz w:val="24"/>
          <w:szCs w:val="24"/>
          <w:lang w:val="uk-UA"/>
        </w:rPr>
        <w:t>Уклад</w:t>
      </w:r>
      <w:r w:rsidR="00821E69">
        <w:rPr>
          <w:sz w:val="24"/>
          <w:szCs w:val="24"/>
          <w:lang w:val="uk-UA"/>
        </w:rPr>
        <w:t>е</w:t>
      </w:r>
      <w:r w:rsidRPr="00C20791">
        <w:rPr>
          <w:sz w:val="24"/>
          <w:szCs w:val="24"/>
          <w:lang w:val="uk-UA"/>
        </w:rPr>
        <w:t>ння договорів на комунальні послуги з експлуатуючими органiзацiями</w:t>
      </w:r>
      <w:r w:rsidR="00821E69">
        <w:rPr>
          <w:sz w:val="24"/>
          <w:szCs w:val="24"/>
          <w:lang w:val="uk-UA"/>
        </w:rPr>
        <w:t>.</w:t>
      </w:r>
    </w:p>
    <w:p w:rsidR="00224B9A" w:rsidRPr="00C20791" w:rsidRDefault="00224B9A" w:rsidP="00FB2F61">
      <w:pPr>
        <w:ind w:left="720" w:hanging="11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 xml:space="preserve">6. Забезпечити благоустрій прилеглої до об’єкта </w:t>
      </w:r>
      <w:r w:rsidR="00821E69">
        <w:rPr>
          <w:sz w:val="24"/>
          <w:szCs w:val="24"/>
          <w:lang w:val="uk-UA"/>
        </w:rPr>
        <w:t>території.</w:t>
      </w:r>
    </w:p>
    <w:p w:rsidR="00224B9A" w:rsidRPr="00C20791" w:rsidRDefault="00224B9A" w:rsidP="00FB2F61">
      <w:pPr>
        <w:ind w:left="720" w:hanging="11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7. Покупець не має права відчужувати об’єкт приватизації</w:t>
      </w:r>
      <w:r w:rsidR="00821E69">
        <w:rPr>
          <w:sz w:val="24"/>
          <w:szCs w:val="24"/>
          <w:lang w:val="uk-UA"/>
        </w:rPr>
        <w:t xml:space="preserve"> до повної сплати його вартості.</w:t>
      </w:r>
    </w:p>
    <w:p w:rsidR="00224B9A" w:rsidRPr="00C20791" w:rsidRDefault="00224B9A" w:rsidP="00FB2F61">
      <w:pPr>
        <w:ind w:left="709" w:right="57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8. У разі подальшого вiдчуження Покупець повинен покл</w:t>
      </w:r>
      <w:r w:rsidR="00821E69">
        <w:rPr>
          <w:sz w:val="24"/>
          <w:szCs w:val="24"/>
          <w:lang w:val="uk-UA"/>
        </w:rPr>
        <w:t>асти всі зобов’язання за даним д</w:t>
      </w:r>
      <w:r w:rsidRPr="00C20791">
        <w:rPr>
          <w:sz w:val="24"/>
          <w:szCs w:val="24"/>
          <w:lang w:val="uk-UA"/>
        </w:rPr>
        <w:t xml:space="preserve">оговором на нового власника. Проект договору </w:t>
      </w:r>
      <w:r w:rsidR="00413A4E" w:rsidRPr="00C20791">
        <w:rPr>
          <w:sz w:val="24"/>
          <w:szCs w:val="24"/>
          <w:lang w:val="uk-UA"/>
        </w:rPr>
        <w:t>подаль</w:t>
      </w:r>
      <w:r w:rsidRPr="00C20791">
        <w:rPr>
          <w:sz w:val="24"/>
          <w:szCs w:val="24"/>
          <w:lang w:val="uk-UA"/>
        </w:rPr>
        <w:t>шого відчуження або договір подальшого відчуження, укладений за відкладальною умовою щодо набрання ним чинності після погодження його Фондом комунального майна, подається</w:t>
      </w:r>
      <w:r w:rsidR="00821E69">
        <w:rPr>
          <w:sz w:val="24"/>
          <w:szCs w:val="24"/>
          <w:lang w:val="uk-UA"/>
        </w:rPr>
        <w:t xml:space="preserve"> </w:t>
      </w:r>
      <w:r w:rsidRPr="00C20791">
        <w:rPr>
          <w:sz w:val="24"/>
          <w:szCs w:val="24"/>
          <w:lang w:val="uk-UA"/>
        </w:rPr>
        <w:t>до Фонду разом з заявою на погодження та документами, що підтверджують виконання умо</w:t>
      </w:r>
      <w:r w:rsidR="00413A4E" w:rsidRPr="00C20791">
        <w:rPr>
          <w:sz w:val="24"/>
          <w:szCs w:val="24"/>
          <w:lang w:val="uk-UA"/>
        </w:rPr>
        <w:t>в</w:t>
      </w:r>
      <w:r w:rsidRPr="00C20791">
        <w:rPr>
          <w:sz w:val="24"/>
          <w:szCs w:val="24"/>
          <w:lang w:val="uk-UA"/>
        </w:rPr>
        <w:t xml:space="preserve"> </w:t>
      </w:r>
      <w:r w:rsidR="00413A4E" w:rsidRPr="00C20791">
        <w:rPr>
          <w:sz w:val="24"/>
          <w:szCs w:val="24"/>
          <w:lang w:val="uk-UA"/>
        </w:rPr>
        <w:t xml:space="preserve">первинного </w:t>
      </w:r>
      <w:r w:rsidR="00821E69">
        <w:rPr>
          <w:sz w:val="24"/>
          <w:szCs w:val="24"/>
          <w:lang w:val="uk-UA"/>
        </w:rPr>
        <w:t>договору купівлі-продажу об’єкта.</w:t>
      </w:r>
      <w:r w:rsidRPr="00C20791">
        <w:rPr>
          <w:sz w:val="24"/>
          <w:szCs w:val="24"/>
          <w:lang w:val="uk-UA"/>
        </w:rPr>
        <w:t xml:space="preserve"> </w:t>
      </w:r>
    </w:p>
    <w:p w:rsidR="00224B9A" w:rsidRPr="00C20791" w:rsidRDefault="00224B9A" w:rsidP="00FB2F61">
      <w:pPr>
        <w:ind w:left="709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9. Питання надання земельної ділянки вирішується Покупцем самостійно в порядку, встановленому чинним законодавством.</w:t>
      </w:r>
    </w:p>
    <w:p w:rsidR="00224B9A" w:rsidRPr="00C20791" w:rsidRDefault="00224B9A" w:rsidP="00FB2F61">
      <w:pPr>
        <w:ind w:left="709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lastRenderedPageBreak/>
        <w:t>10. Витрати, пов’язані з уклад</w:t>
      </w:r>
      <w:r w:rsidR="00821E69">
        <w:rPr>
          <w:sz w:val="24"/>
          <w:szCs w:val="24"/>
          <w:lang w:val="uk-UA"/>
        </w:rPr>
        <w:t>е</w:t>
      </w:r>
      <w:r w:rsidRPr="00C20791">
        <w:rPr>
          <w:sz w:val="24"/>
          <w:szCs w:val="24"/>
          <w:lang w:val="uk-UA"/>
        </w:rPr>
        <w:t>нням та нотаріальним посвідченням договору купівлі-продажу</w:t>
      </w:r>
      <w:r w:rsidR="00BE600C">
        <w:rPr>
          <w:sz w:val="24"/>
          <w:szCs w:val="24"/>
          <w:lang w:val="uk-UA"/>
        </w:rPr>
        <w:t>,</w:t>
      </w:r>
      <w:r w:rsidRPr="00C20791">
        <w:rPr>
          <w:sz w:val="24"/>
          <w:szCs w:val="24"/>
          <w:lang w:val="uk-UA"/>
        </w:rPr>
        <w:t xml:space="preserve"> покладаються на Покупця.</w:t>
      </w:r>
    </w:p>
    <w:p w:rsidR="000B66F0" w:rsidRDefault="00224B9A" w:rsidP="00FB2F61">
      <w:pPr>
        <w:ind w:left="709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11. Переможець аукціону в разі відмови від підписання протоколу аукціону або від уклад</w:t>
      </w:r>
      <w:r w:rsidR="00BE600C">
        <w:rPr>
          <w:sz w:val="24"/>
          <w:szCs w:val="24"/>
          <w:lang w:val="uk-UA"/>
        </w:rPr>
        <w:t>е</w:t>
      </w:r>
      <w:r w:rsidRPr="00C20791">
        <w:rPr>
          <w:sz w:val="24"/>
          <w:szCs w:val="24"/>
          <w:lang w:val="uk-UA"/>
        </w:rPr>
        <w:t xml:space="preserve">ння договору купівлі-продажу, сплачує Продавцю </w:t>
      </w:r>
    </w:p>
    <w:p w:rsidR="008C2D17" w:rsidRDefault="00224B9A" w:rsidP="00495BCC">
      <w:pPr>
        <w:ind w:firstLine="709"/>
        <w:rPr>
          <w:sz w:val="24"/>
          <w:szCs w:val="24"/>
          <w:lang w:val="uk-UA"/>
        </w:rPr>
      </w:pPr>
      <w:r w:rsidRPr="00C20791">
        <w:rPr>
          <w:sz w:val="24"/>
          <w:szCs w:val="24"/>
          <w:lang w:val="uk-UA"/>
        </w:rPr>
        <w:t>неустойку у розмірі 20 відсотків від кінцевої ціни продажу на аукціоні</w:t>
      </w:r>
      <w:r w:rsidR="00485D28">
        <w:rPr>
          <w:sz w:val="24"/>
          <w:szCs w:val="24"/>
          <w:lang w:val="uk-UA"/>
        </w:rPr>
        <w:t xml:space="preserve"> та внесеного ним завдатку</w:t>
      </w:r>
      <w:r w:rsidRPr="00C20791">
        <w:rPr>
          <w:sz w:val="24"/>
          <w:szCs w:val="24"/>
          <w:lang w:val="uk-UA"/>
        </w:rPr>
        <w:t>.</w:t>
      </w:r>
    </w:p>
    <w:p w:rsidR="00495BCC" w:rsidRDefault="00B14789" w:rsidP="00495BCC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</w:t>
      </w:r>
      <w:r w:rsidR="00495BCC" w:rsidRPr="00495BCC">
        <w:rPr>
          <w:sz w:val="24"/>
          <w:szCs w:val="24"/>
          <w:lang w:val="uk-UA"/>
        </w:rPr>
        <w:t xml:space="preserve"> </w:t>
      </w:r>
      <w:r w:rsidR="00495BCC">
        <w:rPr>
          <w:sz w:val="24"/>
          <w:szCs w:val="24"/>
          <w:lang w:val="uk-UA"/>
        </w:rPr>
        <w:t>Забезпечити доступ до обладнання рамки управління теплопостачанням будинку.</w:t>
      </w:r>
    </w:p>
    <w:p w:rsidR="002A4681" w:rsidRPr="00906F7A" w:rsidRDefault="00BE600C" w:rsidP="00BE600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4"/>
          <w:lang w:val="uk-UA"/>
        </w:rPr>
        <w:tab/>
      </w:r>
      <w:r w:rsidR="002A4681" w:rsidRPr="00C20791">
        <w:rPr>
          <w:sz w:val="24"/>
          <w:lang w:val="uk-UA"/>
        </w:rPr>
        <w:t>Реєстрацiя заяв на участь в аукцiонi закiнчyється</w:t>
      </w:r>
      <w:r w:rsidR="00821E69">
        <w:rPr>
          <w:sz w:val="24"/>
          <w:lang w:val="uk-UA"/>
        </w:rPr>
        <w:t xml:space="preserve"> </w:t>
      </w:r>
      <w:r w:rsidR="00E047DC" w:rsidRPr="00E047DC">
        <w:rPr>
          <w:b/>
          <w:bCs/>
          <w:sz w:val="28"/>
          <w:szCs w:val="28"/>
          <w:u w:val="single"/>
          <w:lang w:val="uk-UA"/>
        </w:rPr>
        <w:t>6</w:t>
      </w:r>
      <w:r w:rsidR="00BD7F76" w:rsidRPr="00E047DC">
        <w:rPr>
          <w:b/>
          <w:bCs/>
          <w:sz w:val="28"/>
          <w:szCs w:val="28"/>
          <w:u w:val="single"/>
          <w:lang w:val="uk-UA"/>
        </w:rPr>
        <w:t xml:space="preserve"> </w:t>
      </w:r>
      <w:r w:rsidR="00E047DC" w:rsidRPr="00E047DC">
        <w:rPr>
          <w:b/>
          <w:bCs/>
          <w:sz w:val="28"/>
          <w:szCs w:val="28"/>
          <w:u w:val="single"/>
          <w:lang w:val="uk-UA"/>
        </w:rPr>
        <w:t>березня</w:t>
      </w:r>
      <w:r w:rsidR="002A4681" w:rsidRPr="00906F7A">
        <w:rPr>
          <w:b/>
          <w:bCs/>
          <w:sz w:val="28"/>
          <w:szCs w:val="28"/>
          <w:u w:val="single"/>
          <w:lang w:val="uk-UA"/>
        </w:rPr>
        <w:t xml:space="preserve"> 20</w:t>
      </w:r>
      <w:r w:rsidR="00413A4E" w:rsidRPr="00906F7A">
        <w:rPr>
          <w:b/>
          <w:bCs/>
          <w:sz w:val="28"/>
          <w:szCs w:val="28"/>
          <w:u w:val="single"/>
          <w:lang w:val="uk-UA"/>
        </w:rPr>
        <w:t>1</w:t>
      </w:r>
      <w:r w:rsidR="00E047DC">
        <w:rPr>
          <w:b/>
          <w:bCs/>
          <w:sz w:val="28"/>
          <w:szCs w:val="28"/>
          <w:u w:val="single"/>
          <w:lang w:val="uk-UA"/>
        </w:rPr>
        <w:t>7</w:t>
      </w:r>
      <w:r w:rsidR="002A4681" w:rsidRPr="00906F7A">
        <w:rPr>
          <w:b/>
          <w:bCs/>
          <w:sz w:val="28"/>
          <w:szCs w:val="28"/>
          <w:u w:val="single"/>
          <w:lang w:val="uk-UA"/>
        </w:rPr>
        <w:t xml:space="preserve"> року.</w:t>
      </w:r>
    </w:p>
    <w:p w:rsidR="002A4681" w:rsidRPr="00C20791" w:rsidRDefault="00673658" w:rsidP="00FD7B6F">
      <w:pPr>
        <w:tabs>
          <w:tab w:val="left" w:pos="709"/>
        </w:tabs>
        <w:ind w:firstLine="709"/>
        <w:rPr>
          <w:sz w:val="24"/>
          <w:lang w:val="uk-UA"/>
        </w:rPr>
      </w:pPr>
      <w:r>
        <w:rPr>
          <w:sz w:val="24"/>
          <w:lang w:val="uk-UA"/>
        </w:rPr>
        <w:t xml:space="preserve">Розрахунки за придбаний об’єкт – </w:t>
      </w:r>
      <w:r w:rsidR="002A4681" w:rsidRPr="00C20791">
        <w:rPr>
          <w:sz w:val="24"/>
          <w:lang w:val="uk-UA"/>
        </w:rPr>
        <w:t>грошовi кошти.</w:t>
      </w:r>
    </w:p>
    <w:p w:rsidR="009E6F0A" w:rsidRPr="00C20791" w:rsidRDefault="009E6F0A" w:rsidP="00FB2F61">
      <w:pPr>
        <w:tabs>
          <w:tab w:val="left" w:pos="709"/>
        </w:tabs>
        <w:ind w:left="709"/>
        <w:rPr>
          <w:sz w:val="24"/>
          <w:lang w:val="uk-UA"/>
        </w:rPr>
      </w:pPr>
      <w:r w:rsidRPr="00C20791">
        <w:rPr>
          <w:sz w:val="24"/>
          <w:lang w:val="uk-UA"/>
        </w:rPr>
        <w:t>Грошові кошти на участь в аукціоні, що становить 10% від початкової вартості об’єкта приватизації, покупець перераховує на р/р</w:t>
      </w:r>
      <w:r w:rsidR="00CB15FE">
        <w:rPr>
          <w:sz w:val="24"/>
          <w:lang w:val="uk-UA"/>
        </w:rPr>
        <w:t xml:space="preserve"> </w:t>
      </w:r>
      <w:r w:rsidRPr="00C20791">
        <w:rPr>
          <w:sz w:val="24"/>
          <w:lang w:val="uk-UA"/>
        </w:rPr>
        <w:t>3732</w:t>
      </w:r>
      <w:r w:rsidR="00795DD8" w:rsidRPr="00C20791">
        <w:rPr>
          <w:sz w:val="24"/>
          <w:lang w:val="uk-UA"/>
        </w:rPr>
        <w:t>5</w:t>
      </w:r>
      <w:r w:rsidRPr="00C20791">
        <w:rPr>
          <w:sz w:val="24"/>
          <w:lang w:val="uk-UA"/>
        </w:rPr>
        <w:t>0</w:t>
      </w:r>
      <w:r w:rsidR="00795DD8" w:rsidRPr="00C20791">
        <w:rPr>
          <w:sz w:val="24"/>
          <w:lang w:val="uk-UA"/>
        </w:rPr>
        <w:t>12</w:t>
      </w:r>
      <w:r w:rsidRPr="00C20791">
        <w:rPr>
          <w:sz w:val="24"/>
          <w:lang w:val="uk-UA"/>
        </w:rPr>
        <w:t xml:space="preserve">001058 в </w:t>
      </w:r>
      <w:r w:rsidR="008C2D17">
        <w:rPr>
          <w:sz w:val="24"/>
          <w:lang w:val="uk-UA"/>
        </w:rPr>
        <w:t>ГУ ДКСУ</w:t>
      </w:r>
      <w:r w:rsidR="00284427">
        <w:rPr>
          <w:sz w:val="24"/>
          <w:lang w:val="uk-UA"/>
        </w:rPr>
        <w:t xml:space="preserve"> </w:t>
      </w:r>
      <w:r w:rsidR="00795DD8" w:rsidRPr="00C20791">
        <w:rPr>
          <w:sz w:val="24"/>
          <w:lang w:val="uk-UA"/>
        </w:rPr>
        <w:t>у</w:t>
      </w:r>
      <w:r w:rsidRPr="00C20791">
        <w:rPr>
          <w:sz w:val="24"/>
          <w:lang w:val="uk-UA"/>
        </w:rPr>
        <w:t xml:space="preserve"> Луганськ</w:t>
      </w:r>
      <w:r w:rsidR="00795DD8" w:rsidRPr="00C20791">
        <w:rPr>
          <w:sz w:val="24"/>
          <w:lang w:val="uk-UA"/>
        </w:rPr>
        <w:t>ій</w:t>
      </w:r>
      <w:r w:rsidRPr="00C20791">
        <w:rPr>
          <w:sz w:val="24"/>
          <w:lang w:val="uk-UA"/>
        </w:rPr>
        <w:t xml:space="preserve"> області,</w:t>
      </w:r>
      <w:r w:rsidR="00795DD8" w:rsidRPr="00C20791">
        <w:rPr>
          <w:sz w:val="24"/>
          <w:lang w:val="uk-UA"/>
        </w:rPr>
        <w:t xml:space="preserve"> </w:t>
      </w:r>
      <w:r w:rsidRPr="00C20791">
        <w:rPr>
          <w:sz w:val="24"/>
          <w:lang w:val="uk-UA"/>
        </w:rPr>
        <w:t>МФО 804013, одержувач – Фонд комунального майна, код одержувача – 25372814.</w:t>
      </w:r>
    </w:p>
    <w:p w:rsidR="009E6F0A" w:rsidRPr="00C20791" w:rsidRDefault="009E6F0A" w:rsidP="00CB15FE">
      <w:pPr>
        <w:tabs>
          <w:tab w:val="left" w:pos="709"/>
        </w:tabs>
        <w:ind w:left="709"/>
        <w:rPr>
          <w:sz w:val="24"/>
          <w:lang w:val="uk-UA"/>
        </w:rPr>
      </w:pPr>
      <w:r w:rsidRPr="00C20791">
        <w:rPr>
          <w:sz w:val="24"/>
          <w:lang w:val="uk-UA"/>
        </w:rPr>
        <w:t>Плата за реєстрацiю заяви у розмірі 17 грн. вноситься на</w:t>
      </w:r>
      <w:r w:rsidR="00821E69">
        <w:rPr>
          <w:sz w:val="24"/>
          <w:lang w:val="uk-UA"/>
        </w:rPr>
        <w:t xml:space="preserve"> </w:t>
      </w:r>
      <w:r w:rsidRPr="00C20791">
        <w:rPr>
          <w:sz w:val="24"/>
          <w:lang w:val="uk-UA"/>
        </w:rPr>
        <w:t>р/р 3151</w:t>
      </w:r>
      <w:r w:rsidR="00795DD8" w:rsidRPr="00C20791">
        <w:rPr>
          <w:sz w:val="24"/>
          <w:lang w:val="uk-UA"/>
        </w:rPr>
        <w:t>4</w:t>
      </w:r>
      <w:r w:rsidRPr="00C20791">
        <w:rPr>
          <w:sz w:val="24"/>
          <w:lang w:val="uk-UA"/>
        </w:rPr>
        <w:t>905</w:t>
      </w:r>
      <w:r w:rsidR="00795DD8" w:rsidRPr="00C20791">
        <w:rPr>
          <w:sz w:val="24"/>
          <w:lang w:val="uk-UA"/>
        </w:rPr>
        <w:t>7</w:t>
      </w:r>
      <w:r w:rsidRPr="00C20791">
        <w:rPr>
          <w:sz w:val="24"/>
          <w:lang w:val="uk-UA"/>
        </w:rPr>
        <w:t xml:space="preserve">00080 в </w:t>
      </w:r>
      <w:r w:rsidR="008C2D17">
        <w:rPr>
          <w:sz w:val="24"/>
          <w:lang w:val="uk-UA"/>
        </w:rPr>
        <w:t>ГУ ДКСУ</w:t>
      </w:r>
      <w:r w:rsidR="00795DD8" w:rsidRPr="00C20791">
        <w:rPr>
          <w:sz w:val="24"/>
          <w:lang w:val="uk-UA"/>
        </w:rPr>
        <w:t xml:space="preserve"> у</w:t>
      </w:r>
      <w:r w:rsidRPr="00C20791">
        <w:rPr>
          <w:sz w:val="24"/>
          <w:lang w:val="uk-UA"/>
        </w:rPr>
        <w:t xml:space="preserve"> Луганськ</w:t>
      </w:r>
      <w:r w:rsidR="00795DD8" w:rsidRPr="00C20791">
        <w:rPr>
          <w:sz w:val="24"/>
          <w:lang w:val="uk-UA"/>
        </w:rPr>
        <w:t>ій</w:t>
      </w:r>
      <w:r w:rsidR="00673658">
        <w:rPr>
          <w:sz w:val="24"/>
          <w:lang w:val="uk-UA"/>
        </w:rPr>
        <w:t xml:space="preserve"> області, МФО 804013,</w:t>
      </w:r>
      <w:r w:rsidRPr="00C20791">
        <w:rPr>
          <w:sz w:val="24"/>
          <w:lang w:val="uk-UA"/>
        </w:rPr>
        <w:t xml:space="preserve"> одержувач </w:t>
      </w:r>
      <w:r w:rsidR="001B130A">
        <w:rPr>
          <w:sz w:val="24"/>
          <w:lang w:val="uk-UA"/>
        </w:rPr>
        <w:t>–</w:t>
      </w:r>
      <w:r w:rsidRPr="00C20791">
        <w:rPr>
          <w:sz w:val="24"/>
          <w:lang w:val="uk-UA"/>
        </w:rPr>
        <w:t xml:space="preserve"> </w:t>
      </w:r>
      <w:r w:rsidR="001B130A">
        <w:rPr>
          <w:sz w:val="24"/>
          <w:lang w:val="uk-UA"/>
        </w:rPr>
        <w:t>м</w:t>
      </w:r>
      <w:r w:rsidRPr="00C20791">
        <w:rPr>
          <w:sz w:val="24"/>
          <w:lang w:val="uk-UA"/>
        </w:rPr>
        <w:t>і</w:t>
      </w:r>
      <w:r w:rsidR="00B3475A">
        <w:rPr>
          <w:sz w:val="24"/>
          <w:lang w:val="uk-UA"/>
        </w:rPr>
        <w:t>с</w:t>
      </w:r>
      <w:r w:rsidRPr="00C20791">
        <w:rPr>
          <w:sz w:val="24"/>
          <w:lang w:val="uk-UA"/>
        </w:rPr>
        <w:t>цевий бюджет м.</w:t>
      </w:r>
      <w:r w:rsidR="00CB15FE">
        <w:rPr>
          <w:sz w:val="24"/>
          <w:lang w:val="uk-UA"/>
        </w:rPr>
        <w:t xml:space="preserve"> </w:t>
      </w:r>
      <w:r w:rsidRPr="00C20791">
        <w:rPr>
          <w:sz w:val="24"/>
          <w:lang w:val="uk-UA"/>
        </w:rPr>
        <w:t xml:space="preserve">Сєвєродонецьк, код одержувача </w:t>
      </w:r>
      <w:r w:rsidR="00CB15FE">
        <w:rPr>
          <w:sz w:val="24"/>
          <w:lang w:val="uk-UA"/>
        </w:rPr>
        <w:t>37944909</w:t>
      </w:r>
      <w:r w:rsidRPr="00C20791">
        <w:rPr>
          <w:sz w:val="24"/>
          <w:lang w:val="uk-UA"/>
        </w:rPr>
        <w:t>.</w:t>
      </w:r>
    </w:p>
    <w:p w:rsidR="002A4681" w:rsidRPr="00C20791" w:rsidRDefault="009E6F0A" w:rsidP="00673658">
      <w:pPr>
        <w:tabs>
          <w:tab w:val="left" w:pos="709"/>
        </w:tabs>
        <w:ind w:left="709"/>
        <w:rPr>
          <w:sz w:val="24"/>
          <w:lang w:val="uk-UA"/>
        </w:rPr>
      </w:pPr>
      <w:r w:rsidRPr="00C20791">
        <w:rPr>
          <w:sz w:val="24"/>
          <w:lang w:val="uk-UA"/>
        </w:rPr>
        <w:t>Ознайомитис</w:t>
      </w:r>
      <w:r w:rsidR="00673658">
        <w:rPr>
          <w:sz w:val="24"/>
          <w:lang w:val="uk-UA"/>
        </w:rPr>
        <w:t>я</w:t>
      </w:r>
      <w:r w:rsidRPr="00C20791">
        <w:rPr>
          <w:sz w:val="24"/>
          <w:lang w:val="uk-UA"/>
        </w:rPr>
        <w:t xml:space="preserve"> з об’єктами, одержати додаткову інформацію про продаж об’єктів, подати заяву можна</w:t>
      </w:r>
      <w:r w:rsidR="002A4681" w:rsidRPr="00C20791">
        <w:rPr>
          <w:sz w:val="24"/>
          <w:lang w:val="uk-UA"/>
        </w:rPr>
        <w:t xml:space="preserve"> за адресою: м.</w:t>
      </w:r>
      <w:r w:rsidR="001B130A">
        <w:rPr>
          <w:sz w:val="24"/>
          <w:lang w:val="uk-UA"/>
        </w:rPr>
        <w:t xml:space="preserve"> </w:t>
      </w:r>
      <w:r w:rsidR="008C2D17">
        <w:rPr>
          <w:sz w:val="24"/>
          <w:lang w:val="uk-UA"/>
        </w:rPr>
        <w:t>Сєвєродонецьк, б</w:t>
      </w:r>
      <w:r w:rsidR="00673658">
        <w:rPr>
          <w:sz w:val="24"/>
          <w:lang w:val="uk-UA"/>
        </w:rPr>
        <w:t xml:space="preserve">-р </w:t>
      </w:r>
      <w:r w:rsidR="008C2D17">
        <w:rPr>
          <w:sz w:val="24"/>
          <w:lang w:val="uk-UA"/>
        </w:rPr>
        <w:t>Дружби народів</w:t>
      </w:r>
      <w:r w:rsidR="002A4681" w:rsidRPr="00C20791">
        <w:rPr>
          <w:sz w:val="24"/>
          <w:lang w:val="uk-UA"/>
        </w:rPr>
        <w:t>, 32, кiмн. 14, 30, 31. Тел.</w:t>
      </w:r>
      <w:r w:rsidR="00673658">
        <w:rPr>
          <w:sz w:val="24"/>
          <w:lang w:val="uk-UA"/>
        </w:rPr>
        <w:t>:</w:t>
      </w:r>
      <w:r w:rsidR="002A4681" w:rsidRPr="00C20791">
        <w:rPr>
          <w:sz w:val="24"/>
          <w:lang w:val="uk-UA"/>
        </w:rPr>
        <w:t xml:space="preserve"> 4-41-15; 4-05-09; 4-21-61.</w:t>
      </w:r>
      <w:bookmarkStart w:id="0" w:name="_GoBack"/>
      <w:bookmarkEnd w:id="0"/>
    </w:p>
    <w:sectPr w:rsidR="002A4681" w:rsidRPr="00C20791" w:rsidSect="008C2D17">
      <w:footerReference w:type="even" r:id="rId8"/>
      <w:footerReference w:type="default" r:id="rId9"/>
      <w:pgSz w:w="16840" w:h="11907" w:orient="landscape" w:code="9"/>
      <w:pgMar w:top="568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40" w:rsidRDefault="00981640">
      <w:r>
        <w:separator/>
      </w:r>
    </w:p>
  </w:endnote>
  <w:endnote w:type="continuationSeparator" w:id="0">
    <w:p w:rsidR="00981640" w:rsidRDefault="009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7E" w:rsidRDefault="001473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45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457E" w:rsidRDefault="007445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7E" w:rsidRDefault="001473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45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658">
      <w:rPr>
        <w:rStyle w:val="a4"/>
        <w:noProof/>
      </w:rPr>
      <w:t>2</w:t>
    </w:r>
    <w:r>
      <w:rPr>
        <w:rStyle w:val="a4"/>
      </w:rPr>
      <w:fldChar w:fldCharType="end"/>
    </w:r>
  </w:p>
  <w:p w:rsidR="0074457E" w:rsidRDefault="00744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40" w:rsidRDefault="00981640">
      <w:r>
        <w:separator/>
      </w:r>
    </w:p>
  </w:footnote>
  <w:footnote w:type="continuationSeparator" w:id="0">
    <w:p w:rsidR="00981640" w:rsidRDefault="0098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81"/>
    <w:multiLevelType w:val="singleLevel"/>
    <w:tmpl w:val="137CEA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2C202CC"/>
    <w:multiLevelType w:val="hybridMultilevel"/>
    <w:tmpl w:val="DAD0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5A3"/>
    <w:multiLevelType w:val="hybridMultilevel"/>
    <w:tmpl w:val="6BAAD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7973"/>
    <w:multiLevelType w:val="hybridMultilevel"/>
    <w:tmpl w:val="1EFE5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8553C"/>
    <w:multiLevelType w:val="hybridMultilevel"/>
    <w:tmpl w:val="71A4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5A08"/>
    <w:multiLevelType w:val="hybridMultilevel"/>
    <w:tmpl w:val="793A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6598"/>
    <w:multiLevelType w:val="hybridMultilevel"/>
    <w:tmpl w:val="A53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E95C68"/>
    <w:multiLevelType w:val="hybridMultilevel"/>
    <w:tmpl w:val="A0C895C6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 w15:restartNumberingAfterBreak="0">
    <w:nsid w:val="4D7265B4"/>
    <w:multiLevelType w:val="hybridMultilevel"/>
    <w:tmpl w:val="0366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33B"/>
    <w:multiLevelType w:val="hybridMultilevel"/>
    <w:tmpl w:val="CAAA5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612BC"/>
    <w:multiLevelType w:val="hybridMultilevel"/>
    <w:tmpl w:val="D5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D7F4A"/>
    <w:multiLevelType w:val="hybridMultilevel"/>
    <w:tmpl w:val="3656F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D2870"/>
    <w:multiLevelType w:val="hybridMultilevel"/>
    <w:tmpl w:val="DCD43FC8"/>
    <w:lvl w:ilvl="0" w:tplc="E3F83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ED0"/>
    <w:multiLevelType w:val="hybridMultilevel"/>
    <w:tmpl w:val="02F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F1A3B"/>
    <w:multiLevelType w:val="hybridMultilevel"/>
    <w:tmpl w:val="0C68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3896"/>
    <w:multiLevelType w:val="hybridMultilevel"/>
    <w:tmpl w:val="19D8F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4A3872"/>
    <w:multiLevelType w:val="hybridMultilevel"/>
    <w:tmpl w:val="49B8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"/>
  </w:num>
  <w:num w:numId="17">
    <w:abstractNumId w:val="13"/>
  </w:num>
  <w:num w:numId="18">
    <w:abstractNumId w:val="4"/>
  </w:num>
  <w:num w:numId="19">
    <w:abstractNumId w:val="1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623"/>
    <w:rsid w:val="00005F3C"/>
    <w:rsid w:val="000127B6"/>
    <w:rsid w:val="0001447E"/>
    <w:rsid w:val="00021E37"/>
    <w:rsid w:val="0002285E"/>
    <w:rsid w:val="000402A3"/>
    <w:rsid w:val="00060524"/>
    <w:rsid w:val="000660F9"/>
    <w:rsid w:val="000822FC"/>
    <w:rsid w:val="000863FF"/>
    <w:rsid w:val="00093713"/>
    <w:rsid w:val="000A23A0"/>
    <w:rsid w:val="000B0EC9"/>
    <w:rsid w:val="000B66F0"/>
    <w:rsid w:val="000B7E5A"/>
    <w:rsid w:val="000C0869"/>
    <w:rsid w:val="000F0F8D"/>
    <w:rsid w:val="00102364"/>
    <w:rsid w:val="00102F70"/>
    <w:rsid w:val="0011292D"/>
    <w:rsid w:val="00133FB5"/>
    <w:rsid w:val="00147358"/>
    <w:rsid w:val="00151468"/>
    <w:rsid w:val="00153416"/>
    <w:rsid w:val="00157A6B"/>
    <w:rsid w:val="00160033"/>
    <w:rsid w:val="0016121F"/>
    <w:rsid w:val="00197380"/>
    <w:rsid w:val="001B130A"/>
    <w:rsid w:val="001B2EFF"/>
    <w:rsid w:val="001C3379"/>
    <w:rsid w:val="001D2B15"/>
    <w:rsid w:val="001E57AA"/>
    <w:rsid w:val="00223F9A"/>
    <w:rsid w:val="00224B9A"/>
    <w:rsid w:val="00230B77"/>
    <w:rsid w:val="00284427"/>
    <w:rsid w:val="00285B57"/>
    <w:rsid w:val="00287F0D"/>
    <w:rsid w:val="002A4681"/>
    <w:rsid w:val="002B18A4"/>
    <w:rsid w:val="002B50D6"/>
    <w:rsid w:val="002B5CD0"/>
    <w:rsid w:val="002D37C7"/>
    <w:rsid w:val="003021EF"/>
    <w:rsid w:val="00302DE7"/>
    <w:rsid w:val="0032379F"/>
    <w:rsid w:val="00326C2D"/>
    <w:rsid w:val="0033308D"/>
    <w:rsid w:val="00336FCB"/>
    <w:rsid w:val="003517EF"/>
    <w:rsid w:val="00352A49"/>
    <w:rsid w:val="0036013B"/>
    <w:rsid w:val="00360718"/>
    <w:rsid w:val="003678DA"/>
    <w:rsid w:val="003753F7"/>
    <w:rsid w:val="00391D40"/>
    <w:rsid w:val="003A3EC1"/>
    <w:rsid w:val="003A643A"/>
    <w:rsid w:val="003B2DBE"/>
    <w:rsid w:val="003B2E12"/>
    <w:rsid w:val="003B595D"/>
    <w:rsid w:val="003F4283"/>
    <w:rsid w:val="003F5A2E"/>
    <w:rsid w:val="003F63B2"/>
    <w:rsid w:val="00401571"/>
    <w:rsid w:val="00401F69"/>
    <w:rsid w:val="0041226A"/>
    <w:rsid w:val="00413A4E"/>
    <w:rsid w:val="00416F02"/>
    <w:rsid w:val="00417EB3"/>
    <w:rsid w:val="004411E0"/>
    <w:rsid w:val="0044591B"/>
    <w:rsid w:val="00446950"/>
    <w:rsid w:val="00451F67"/>
    <w:rsid w:val="0046722F"/>
    <w:rsid w:val="00470AFC"/>
    <w:rsid w:val="00485D28"/>
    <w:rsid w:val="0049113D"/>
    <w:rsid w:val="00495BCC"/>
    <w:rsid w:val="004A0FA9"/>
    <w:rsid w:val="004A484A"/>
    <w:rsid w:val="004B2F5C"/>
    <w:rsid w:val="004B2F8F"/>
    <w:rsid w:val="004D4BC1"/>
    <w:rsid w:val="004F6034"/>
    <w:rsid w:val="00503C83"/>
    <w:rsid w:val="00506837"/>
    <w:rsid w:val="00512B1F"/>
    <w:rsid w:val="00513011"/>
    <w:rsid w:val="00514ECE"/>
    <w:rsid w:val="00536A2D"/>
    <w:rsid w:val="00547644"/>
    <w:rsid w:val="00547C86"/>
    <w:rsid w:val="00557F8D"/>
    <w:rsid w:val="00583592"/>
    <w:rsid w:val="005947BB"/>
    <w:rsid w:val="0059612C"/>
    <w:rsid w:val="005A0EEB"/>
    <w:rsid w:val="005B11C7"/>
    <w:rsid w:val="005E46AD"/>
    <w:rsid w:val="005E7C9F"/>
    <w:rsid w:val="005F5E17"/>
    <w:rsid w:val="00605F82"/>
    <w:rsid w:val="006168C0"/>
    <w:rsid w:val="00634D1F"/>
    <w:rsid w:val="006559B8"/>
    <w:rsid w:val="00665EC1"/>
    <w:rsid w:val="006666D4"/>
    <w:rsid w:val="0067069A"/>
    <w:rsid w:val="006712B9"/>
    <w:rsid w:val="00673658"/>
    <w:rsid w:val="00675BBE"/>
    <w:rsid w:val="0068612C"/>
    <w:rsid w:val="00686277"/>
    <w:rsid w:val="0068769F"/>
    <w:rsid w:val="006958D5"/>
    <w:rsid w:val="006D5D82"/>
    <w:rsid w:val="006E554C"/>
    <w:rsid w:val="006E5666"/>
    <w:rsid w:val="006F3FDC"/>
    <w:rsid w:val="007031C2"/>
    <w:rsid w:val="00703745"/>
    <w:rsid w:val="007039DD"/>
    <w:rsid w:val="007146C7"/>
    <w:rsid w:val="0074277E"/>
    <w:rsid w:val="0074457E"/>
    <w:rsid w:val="00754A27"/>
    <w:rsid w:val="00757B53"/>
    <w:rsid w:val="00762885"/>
    <w:rsid w:val="00771D26"/>
    <w:rsid w:val="007829D4"/>
    <w:rsid w:val="00784CEF"/>
    <w:rsid w:val="007904B0"/>
    <w:rsid w:val="00795DD8"/>
    <w:rsid w:val="007B034D"/>
    <w:rsid w:val="007B2AD3"/>
    <w:rsid w:val="007C214B"/>
    <w:rsid w:val="007F08A4"/>
    <w:rsid w:val="007F2FDF"/>
    <w:rsid w:val="007F7FAD"/>
    <w:rsid w:val="00804B1E"/>
    <w:rsid w:val="0081437A"/>
    <w:rsid w:val="008150AC"/>
    <w:rsid w:val="00821E69"/>
    <w:rsid w:val="0082227C"/>
    <w:rsid w:val="008229DC"/>
    <w:rsid w:val="00874911"/>
    <w:rsid w:val="00877E38"/>
    <w:rsid w:val="00886A34"/>
    <w:rsid w:val="0089476C"/>
    <w:rsid w:val="008A39BB"/>
    <w:rsid w:val="008B6756"/>
    <w:rsid w:val="008B6B7A"/>
    <w:rsid w:val="008B6F82"/>
    <w:rsid w:val="008C1453"/>
    <w:rsid w:val="008C2983"/>
    <w:rsid w:val="008C2D17"/>
    <w:rsid w:val="008C6566"/>
    <w:rsid w:val="008E3282"/>
    <w:rsid w:val="008E4AAB"/>
    <w:rsid w:val="008E5E7D"/>
    <w:rsid w:val="008E6F42"/>
    <w:rsid w:val="008F5C9D"/>
    <w:rsid w:val="00906F7A"/>
    <w:rsid w:val="009239BE"/>
    <w:rsid w:val="00931E3A"/>
    <w:rsid w:val="00952023"/>
    <w:rsid w:val="00973DE6"/>
    <w:rsid w:val="00976E89"/>
    <w:rsid w:val="00981640"/>
    <w:rsid w:val="00984C2E"/>
    <w:rsid w:val="00987DB0"/>
    <w:rsid w:val="00994C87"/>
    <w:rsid w:val="009A032B"/>
    <w:rsid w:val="009A1C2C"/>
    <w:rsid w:val="009B6D19"/>
    <w:rsid w:val="009B7FE6"/>
    <w:rsid w:val="009C2A4C"/>
    <w:rsid w:val="009E6F0A"/>
    <w:rsid w:val="009F611D"/>
    <w:rsid w:val="00A045E4"/>
    <w:rsid w:val="00A063F9"/>
    <w:rsid w:val="00A07921"/>
    <w:rsid w:val="00A16716"/>
    <w:rsid w:val="00A32025"/>
    <w:rsid w:val="00A46DF7"/>
    <w:rsid w:val="00A521B7"/>
    <w:rsid w:val="00A5283D"/>
    <w:rsid w:val="00A575EF"/>
    <w:rsid w:val="00A723B8"/>
    <w:rsid w:val="00AA60E5"/>
    <w:rsid w:val="00AB66C3"/>
    <w:rsid w:val="00AC0632"/>
    <w:rsid w:val="00AC5976"/>
    <w:rsid w:val="00AD6F1D"/>
    <w:rsid w:val="00AD7B7C"/>
    <w:rsid w:val="00AF01A5"/>
    <w:rsid w:val="00AF2724"/>
    <w:rsid w:val="00B00D2E"/>
    <w:rsid w:val="00B14789"/>
    <w:rsid w:val="00B31652"/>
    <w:rsid w:val="00B32863"/>
    <w:rsid w:val="00B3475A"/>
    <w:rsid w:val="00B443C1"/>
    <w:rsid w:val="00B47C4F"/>
    <w:rsid w:val="00B53C8F"/>
    <w:rsid w:val="00B56C00"/>
    <w:rsid w:val="00B64291"/>
    <w:rsid w:val="00B814BD"/>
    <w:rsid w:val="00B83A84"/>
    <w:rsid w:val="00B87727"/>
    <w:rsid w:val="00B910FC"/>
    <w:rsid w:val="00BA63FB"/>
    <w:rsid w:val="00BC2F52"/>
    <w:rsid w:val="00BD062F"/>
    <w:rsid w:val="00BD083E"/>
    <w:rsid w:val="00BD75F7"/>
    <w:rsid w:val="00BD7F76"/>
    <w:rsid w:val="00BE0936"/>
    <w:rsid w:val="00BE600C"/>
    <w:rsid w:val="00BF400D"/>
    <w:rsid w:val="00C10303"/>
    <w:rsid w:val="00C20791"/>
    <w:rsid w:val="00C26221"/>
    <w:rsid w:val="00C36698"/>
    <w:rsid w:val="00C532E2"/>
    <w:rsid w:val="00C60424"/>
    <w:rsid w:val="00C705E4"/>
    <w:rsid w:val="00C7721A"/>
    <w:rsid w:val="00C96DA2"/>
    <w:rsid w:val="00CA0268"/>
    <w:rsid w:val="00CB15FE"/>
    <w:rsid w:val="00CD0F0B"/>
    <w:rsid w:val="00CE1FA0"/>
    <w:rsid w:val="00CF011D"/>
    <w:rsid w:val="00CF705C"/>
    <w:rsid w:val="00D025A6"/>
    <w:rsid w:val="00D06EA3"/>
    <w:rsid w:val="00D17DDA"/>
    <w:rsid w:val="00D37A89"/>
    <w:rsid w:val="00D5200F"/>
    <w:rsid w:val="00D72718"/>
    <w:rsid w:val="00D82623"/>
    <w:rsid w:val="00D8281B"/>
    <w:rsid w:val="00D83B8F"/>
    <w:rsid w:val="00D8418D"/>
    <w:rsid w:val="00DA5D38"/>
    <w:rsid w:val="00DC2D9A"/>
    <w:rsid w:val="00DD5B1B"/>
    <w:rsid w:val="00DE223E"/>
    <w:rsid w:val="00DF311E"/>
    <w:rsid w:val="00E047DC"/>
    <w:rsid w:val="00E05349"/>
    <w:rsid w:val="00E06A6E"/>
    <w:rsid w:val="00E112D5"/>
    <w:rsid w:val="00E13E04"/>
    <w:rsid w:val="00E14A3F"/>
    <w:rsid w:val="00E2620B"/>
    <w:rsid w:val="00E51918"/>
    <w:rsid w:val="00E724A7"/>
    <w:rsid w:val="00E76680"/>
    <w:rsid w:val="00E76D73"/>
    <w:rsid w:val="00E84E7E"/>
    <w:rsid w:val="00EB53BA"/>
    <w:rsid w:val="00EE1F5E"/>
    <w:rsid w:val="00EE3EB7"/>
    <w:rsid w:val="00EE5B50"/>
    <w:rsid w:val="00EE6E21"/>
    <w:rsid w:val="00F1279C"/>
    <w:rsid w:val="00F21C7F"/>
    <w:rsid w:val="00F2332D"/>
    <w:rsid w:val="00F23F6C"/>
    <w:rsid w:val="00F251E2"/>
    <w:rsid w:val="00F414FC"/>
    <w:rsid w:val="00F708DC"/>
    <w:rsid w:val="00F87653"/>
    <w:rsid w:val="00F913AE"/>
    <w:rsid w:val="00FA2AD2"/>
    <w:rsid w:val="00FB2F61"/>
    <w:rsid w:val="00FB65FB"/>
    <w:rsid w:val="00FC3464"/>
    <w:rsid w:val="00FC7313"/>
    <w:rsid w:val="00FD10A6"/>
    <w:rsid w:val="00FD7B6F"/>
    <w:rsid w:val="00FE117B"/>
    <w:rsid w:val="00FE6D02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977B4"/>
  <w15:docId w15:val="{DC22371E-5BDA-4E31-B2AA-A851F33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1B"/>
  </w:style>
  <w:style w:type="paragraph" w:styleId="1">
    <w:name w:val="heading 1"/>
    <w:basedOn w:val="a"/>
    <w:next w:val="a"/>
    <w:qFormat/>
    <w:rsid w:val="00D8281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82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81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8281B"/>
  </w:style>
  <w:style w:type="paragraph" w:styleId="20">
    <w:name w:val="Body Text Indent 2"/>
    <w:basedOn w:val="a"/>
    <w:rsid w:val="00CA0268"/>
    <w:pPr>
      <w:ind w:firstLine="360"/>
      <w:jc w:val="both"/>
    </w:pPr>
    <w:rPr>
      <w:sz w:val="22"/>
      <w:lang w:val="uk-UA"/>
    </w:rPr>
  </w:style>
  <w:style w:type="paragraph" w:styleId="a5">
    <w:name w:val="Body Text"/>
    <w:basedOn w:val="a"/>
    <w:rsid w:val="00CA0268"/>
    <w:pPr>
      <w:jc w:val="both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30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1E96-26A3-4DB4-B07F-23E9B6D9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ПРЕДСТАВИТЕЛЬСТВО ФОНДА ГОСУДАРСТВЕННОГО ИМУЩЕСТВА УКРАИНЫ В Г. СЕВЕРОДОНЕЦКЕ  ПРОВОДИТ  22 НОЯБРЯ 1995 ГОДА  В 10 ЧАСОВ ПО УЛ. ЛЕНИНА, 32 (ЗДАНИЕ ГОРИСПОЛКОМА)  АУКЦИОН   ПО ПРОДАЖЕ  ОБЪЕКТОВ  ПРИВАТИЗАЦИИ</vt:lpstr>
    </vt:vector>
  </TitlesOfParts>
  <Company>Неизвестная Организация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ПРЕДСТАВИТЕЛЬСТВО ФОНДА ГОСУДАРСТВЕННОГО ИМУЩЕСТВА УКРАИНЫ В Г. СЕВЕРОДОНЕЦКЕ  ПРОВОДИТ  22 НОЯБРЯ 1995 ГОДА  В 10 ЧАСОВ ПО УЛ. ЛЕНИНА, 32 (ЗДАНИЕ ГОРИСПОЛКОМА)  АУКЦИОН   ПО ПРОДАЖЕ  ОБЪЕКТОВ  ПРИВАТИЗАЦИИ</dc:title>
  <dc:creator>Ольшанский А.В.</dc:creator>
  <cp:lastModifiedBy>admin</cp:lastModifiedBy>
  <cp:revision>8</cp:revision>
  <cp:lastPrinted>2017-02-14T07:23:00Z</cp:lastPrinted>
  <dcterms:created xsi:type="dcterms:W3CDTF">2017-02-10T12:58:00Z</dcterms:created>
  <dcterms:modified xsi:type="dcterms:W3CDTF">2017-02-15T09:30:00Z</dcterms:modified>
</cp:coreProperties>
</file>