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F6" w:rsidRPr="00FA3AF6" w:rsidRDefault="00FA3AF6" w:rsidP="00FA3AF6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      </w:t>
      </w:r>
    </w:p>
    <w:p w:rsidR="00FA3AF6" w:rsidRPr="00FA3AF6" w:rsidRDefault="00FA3AF6" w:rsidP="00FA3AF6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СКЛИКАННЯ</w:t>
      </w:r>
    </w:p>
    <w:p w:rsidR="00FA3AF6" w:rsidRPr="00FA3AF6" w:rsidRDefault="00FA3AF6" w:rsidP="00FA3AF6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П’ятдесят сьома (чергова) сесія</w:t>
      </w:r>
    </w:p>
    <w:p w:rsidR="00FA3AF6" w:rsidRPr="00FA3AF6" w:rsidRDefault="00FA3AF6" w:rsidP="00FA3AF6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№2478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ind w:right="16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«_21____» </w:t>
      </w:r>
      <w:proofErr w:type="spellStart"/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_лютого</w:t>
      </w:r>
      <w:proofErr w:type="spellEnd"/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_ 2013 р.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FA3AF6" w:rsidRPr="00FA3AF6" w:rsidRDefault="00FA3AF6" w:rsidP="00FA3AF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хід виконання рішення</w:t>
      </w:r>
      <w:r w:rsidRPr="00FA3AF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сесії міської ради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від 26.07.2011 р. № 796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«Про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затвердженняПрограми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 енергозбереження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житлово-комунального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господарства м.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на 2011-2015 роки» у 2012 році.</w:t>
      </w:r>
    </w:p>
    <w:p w:rsidR="00FA3AF6" w:rsidRPr="00FA3AF6" w:rsidRDefault="00FA3AF6" w:rsidP="00FA3AF6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Керуючись статтею 26 Закону України «Про місцеве самоврядування в Україні», розглянувши звіт «Про хід виконання рішення сесії міської ради від 26.07.2011р. №796 «Про затвердження Програми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енергозбереження житлово-комунального господарства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2011-2015 роки»,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міська рада</w:t>
      </w:r>
    </w:p>
    <w:p w:rsidR="00FA3AF6" w:rsidRPr="00FA3AF6" w:rsidRDefault="00FA3AF6" w:rsidP="00FA3AF6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A3AF6" w:rsidRPr="00FA3AF6" w:rsidRDefault="00FA3AF6" w:rsidP="00FA3AF6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1. Затвердити звіт «Про хід виконання рішення сесії міської ради від 26.07.2011р. №796 «Про затвердження Програми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енергозбереження житлово-комунального господарства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2011-2015 роки» у 2012 році» (Додаток).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2.         Контроль за виконанням цього рішення покласти на постійну комісію по  управлінню житлово-комунальним господарством, власністю, комунальною власністю,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побутовим та торгівельним обслуговуванням.</w:t>
      </w:r>
    </w:p>
    <w:p w:rsidR="00FA3AF6" w:rsidRPr="00FA3AF6" w:rsidRDefault="00FA3AF6" w:rsidP="00FA3AF6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FA3AF6" w:rsidRPr="00FA3AF6" w:rsidRDefault="00FA3AF6" w:rsidP="00FA3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FA3AF6" w:rsidRPr="00FA3AF6" w:rsidRDefault="00FA3AF6" w:rsidP="00FA3AF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FA3AF6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Додаток до рішення 57-ї (чергової) сесії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i/>
          <w:i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від «21» лютого 2013р. № 2478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ЗВІТ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про хід виконання рішення сесії міської ради</w:t>
      </w:r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FA3AF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 xml:space="preserve"> від 26.07.2011 р. №796 «Про затвердження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Програми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та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енергозбереження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житлово-комунального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господарства</w:t>
      </w:r>
      <w:proofErr w:type="spellEnd"/>
    </w:p>
    <w:p w:rsidR="00FA3AF6" w:rsidRPr="00FA3AF6" w:rsidRDefault="00FA3AF6" w:rsidP="00FA3AF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</w:t>
      </w:r>
      <w:proofErr w:type="gram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.С</w:t>
      </w:r>
      <w:proofErr w:type="gram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євєродонецька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 xml:space="preserve"> на 2011-2015 роки» у 2012 </w:t>
      </w:r>
      <w:proofErr w:type="spellStart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році</w:t>
      </w:r>
      <w:proofErr w:type="spellEnd"/>
      <w:r w:rsidRPr="00FA3AF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.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1. Основні дані.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 Метою «Програми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енергозбереження житлово-комунального господарства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м.Сєвєродонецька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2011-2015 роки» (далі Програма) є забезпечення реалізації державної політики у вирішенні питань підвищення ефективності використання та зменшення споживання енергоресурсів в житлово-комунальному господарстві міста, забезпечення переведення економіки житлово-комунального господарства на енергозберігаючий шлях розвитку і суттєве скорочення за рахунок цього витрат місцевого бюджету на енергозабезпечення житлово-комунального господарства міста та населення.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Програма затверджена рішенням сесії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Сєвєродонецької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міської ради  від 26.07.2011 р. №796  «Про затвердження Програми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енергозбереження житлово-комунального господарства м.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на 2011-2015 роки».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Відповідальними виконавцями Програми визначені  Управління житлово-комунального господарства міської ради, житлово-комунальні підприємства міста.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Строк виконання Програми з 2011 року по 2015 рік.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2. Виконання  завдань і заходів.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Основними заходами та напрямками Програми є: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- встановлення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побудинкових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приладів обліку електричної енергії;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заміна центральних теплових пунктів  (ЦТП) на індивідуальні теплові пункти (ІТП) житлових будинків із приладами обліку споживання теплової енергії;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проведення капітального ремонту  ремонт систем гарячого водопостачання житлових будинків із заміною водопідігрівачів;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утеплення житлових будинків та реалізації комплексних робіт із санації житлових будинків, об’єктів житлово-комунального господарства;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модернізація мереж зовнішнього освітлення шляхом встановлення  приладів диференційного обліку електричної енергії та заміни світильників з ламп розжарювання на більш сучасні та ефективні лампи;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- проведення енергетичного аудиту підприємств житлово-комунального господарства.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</w:t>
      </w: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рамках виконання програми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у 2012 році виконані заходи по наступним розділам: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Встановлення  </w:t>
      </w:r>
      <w:proofErr w:type="spellStart"/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побудинкових</w:t>
      </w:r>
      <w:proofErr w:type="spellEnd"/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 xml:space="preserve"> приладів обліку електричної енергії.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В 2012 році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Житлосервіс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«Світанок» за кошти місцевого бюджету та кошти підприємства встановлено 4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загальнобудинкові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прилади обліку електричної енергії в житлових будинках.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Модернізація об’єктів зовнішнього освітлення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із впровадженням сучасних ефективних технологій.</w:t>
      </w:r>
    </w:p>
    <w:p w:rsidR="00FA3AF6" w:rsidRPr="00FA3AF6" w:rsidRDefault="00FA3AF6" w:rsidP="00FA3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В 2012 році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Сєвєродонецькліфт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» виконало модернізацію  мереж зовнішнього освітлення шляхом заміни 227 одиниць світильників з лампами </w:t>
      </w: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розжарювання на зберігаючи світильники на суму 114,4 тис. грн. та  встановило 1  прилад диференційного обліку електроенергії на суму  2,4 тис. грн.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Роботи виконувались за кошти місцевого бюджету та підприємства.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Утеплення житлових будинків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000000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ind w:firstLine="85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В 2012 році за рахунок коштів місцевого бюджету житлово-експлуатаційними підприємствами виконано капітальний ремонт покрівель 5-ти житлових будинків по                     вул. Партизанська, 34; пр. Гвардійський, 77а; вул. Гагаріна, 60; пр. Космонавтів, 18а, пр. Гвардійський, 18 із застосування гідро - та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теплоізолюючого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матеріалу – пінополіуретану  на суму  1556,542 тис. грн.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За кошти місцевого бюджету виконано зовнішнє  утеплення стін  7-ми житлових будинків по  вул. Федоренко, 15; вул. Леніна, 52;  вул. Жовтнева, 15; вул. Гоголя, 8;                    вул. Першотравнева, 25; вул. Донецька, 4; вул. Першотравнева, 20 в на суму 2314,523 тис. грн.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u w:val="single"/>
          <w:lang w:val="uk-UA" w:eastAsia="ru-RU"/>
        </w:rPr>
        <w:t>Заміна центральних теплових пунктів </w:t>
      </w:r>
      <w:r w:rsidRPr="00FA3AF6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(ЦТП)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на індивідуальні теплові пункти (ІТП) житлових  будинків</w:t>
      </w:r>
    </w:p>
    <w:p w:rsidR="00FA3AF6" w:rsidRPr="00FA3AF6" w:rsidRDefault="00FA3AF6" w:rsidP="00FA3AF6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i/>
          <w:iCs/>
          <w:color w:val="4A4A4A"/>
          <w:sz w:val="24"/>
          <w:szCs w:val="24"/>
          <w:u w:val="single"/>
          <w:lang w:val="uk-UA" w:eastAsia="ru-RU"/>
        </w:rPr>
        <w:t>з приладами обліку теплової енергії.</w:t>
      </w:r>
      <w:r w:rsidRPr="00FA3AF6">
        <w:rPr>
          <w:rFonts w:ascii="Tahoma" w:eastAsia="Times New Roman" w:hAnsi="Tahoma" w:cs="Tahoma"/>
          <w:i/>
          <w:iCs/>
          <w:color w:val="4A4A4A"/>
          <w:sz w:val="24"/>
          <w:szCs w:val="24"/>
          <w:u w:val="single"/>
          <w:lang w:val="uk-UA" w:eastAsia="ru-RU"/>
        </w:rPr>
        <w:t>     </w:t>
      </w:r>
    </w:p>
    <w:p w:rsidR="00FA3AF6" w:rsidRPr="00FA3AF6" w:rsidRDefault="00FA3AF6" w:rsidP="00FA3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В 2012 році за рахунок коштів міського бюджету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КП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«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теплові мережі» виконано капітальний ремонт  систем гарячого водопостачання житлових будинків із заміною 34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водопідігрівників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капітальний ремонт 38 виносних рамок управління опаленням на суму 2798,042 тис. грн.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Заміна центральних теплових пунктів (ЦТП) на індивідуальні теплові пункти (ІТП) житлових  будинків з приладами обліку споживання теплової енергії не виконано з причини відсутності фінансування з державного бюджету.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3. Оцінка ефективності виконання.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         </w:t>
      </w: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Виконання заходів Програми сприяло підвищенню ефективності використання та поліпшенню технічного стану житлових будинків, якості надання населенню послуг гарячого водопостачання, економії енергетичних ресурсів.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            Застосування пінополіуретану при капітальному ремонті покрівель житлових будинків  дозволило суттєво скоротити терміни виконання ремонтних робіт; підвищило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тепло-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морозостійкість покрівель.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</w:t>
      </w: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4. Фінансування.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Фінансування Програми здійснювалось за рахунок коштів місцевого бюджету та коштів житлово-комунальних підприємств. З Державного бюджету у 2012 році фінансування не отримано.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1"/>
        <w:gridCol w:w="2895"/>
        <w:gridCol w:w="1843"/>
        <w:gridCol w:w="240"/>
        <w:gridCol w:w="1084"/>
        <w:gridCol w:w="1556"/>
        <w:gridCol w:w="216"/>
        <w:gridCol w:w="983"/>
      </w:tblGrid>
      <w:tr w:rsidR="00FA3AF6" w:rsidRPr="00FA3AF6" w:rsidTr="00FA3AF6">
        <w:trPr>
          <w:trHeight w:val="170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3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Найменування енергозберігаючих заходів та місця їх впровадження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Термін виконання заходів по роках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Орієнтовна кошторисна вартість заходу, тис. грн.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Джерела фінансування заходів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Фактичне виконання у 2012 р.,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грн.</w:t>
            </w:r>
          </w:p>
        </w:tc>
      </w:tr>
      <w:tr w:rsidR="00FA3AF6" w:rsidRPr="00FA3AF6" w:rsidTr="00FA3AF6">
        <w:trPr>
          <w:trHeight w:val="1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AF6" w:rsidRPr="00FA3AF6" w:rsidRDefault="00FA3AF6" w:rsidP="00FA3AF6">
            <w:pPr>
              <w:spacing w:after="180" w:line="130" w:lineRule="atLeast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AF6" w:rsidRPr="00FA3AF6" w:rsidRDefault="00FA3AF6" w:rsidP="00FA3AF6">
            <w:pPr>
              <w:spacing w:after="180" w:line="13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AF6" w:rsidRPr="00FA3AF6" w:rsidRDefault="00FA3AF6" w:rsidP="00FA3AF6">
            <w:pPr>
              <w:spacing w:after="180" w:line="13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AF6" w:rsidRPr="00FA3AF6" w:rsidRDefault="00FA3AF6" w:rsidP="00FA3AF6">
            <w:pPr>
              <w:spacing w:after="180" w:line="13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AF6" w:rsidRPr="00FA3AF6" w:rsidRDefault="00FA3AF6" w:rsidP="00FA3AF6">
            <w:pPr>
              <w:spacing w:after="180" w:line="13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 w:line="13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A3AF6" w:rsidRPr="00FA3AF6" w:rsidTr="00FA3AF6">
        <w:trPr>
          <w:trHeight w:val="130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3AF6" w:rsidRPr="00FA3AF6" w:rsidRDefault="00FA3AF6" w:rsidP="00FA3AF6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1. Встановлення  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побудинкових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приладів обліку електричної енергії.</w:t>
            </w:r>
          </w:p>
          <w:p w:rsidR="00FA3AF6" w:rsidRPr="00FA3AF6" w:rsidRDefault="00FA3AF6" w:rsidP="00FA3AF6">
            <w:pPr>
              <w:spacing w:after="180" w:line="13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598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2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"Світанок"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100,0</w:t>
            </w:r>
          </w:p>
        </w:tc>
      </w:tr>
      <w:tr w:rsidR="00FA3AF6" w:rsidRPr="00FA3AF6" w:rsidTr="00FA3AF6">
        <w:trPr>
          <w:trHeight w:val="5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"Злагода"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20,5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  <w:p w:rsidR="00FA3AF6" w:rsidRPr="00FA3AF6" w:rsidRDefault="00FA3AF6" w:rsidP="00FA3AF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62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1.3.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"Ритм"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558,0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82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"Промінь"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15,1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76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1.5.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Евріка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18,4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71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1.6.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"Добробут"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659,0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360"/>
        </w:trPr>
        <w:tc>
          <w:tcPr>
            <w:tcW w:w="5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1421,00</w:t>
            </w:r>
          </w:p>
          <w:p w:rsidR="00FA3AF6" w:rsidRPr="00FA3AF6" w:rsidRDefault="00FA3AF6" w:rsidP="00FA3AF6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  <w:p w:rsidR="00FA3AF6" w:rsidRPr="00FA3AF6" w:rsidRDefault="00FA3AF6" w:rsidP="00FA3AF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Кошти підприємства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36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100,0</w:t>
            </w:r>
          </w:p>
        </w:tc>
      </w:tr>
      <w:tr w:rsidR="00FA3AF6" w:rsidRPr="00FA3AF6" w:rsidTr="00FA3AF6">
        <w:trPr>
          <w:trHeight w:val="512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2. Модернізація об’єктів зовнішнього освітлення із впровадженням сучасних ефективних технологій 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Сєвєродонецькліфт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57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32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Модернізація мереж зовнішнього освітлення шляхом заміни світильників з ламп розжарювання на 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енергоефективні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лампи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 р. - 227 од.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352,1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Інші кошти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6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105,4</w:t>
            </w:r>
          </w:p>
        </w:tc>
      </w:tr>
      <w:tr w:rsidR="00FA3AF6" w:rsidRPr="00FA3AF6" w:rsidTr="00FA3AF6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9,0</w:t>
            </w:r>
          </w:p>
        </w:tc>
      </w:tr>
      <w:tr w:rsidR="00FA3AF6" w:rsidRPr="00FA3AF6" w:rsidTr="00FA3AF6">
        <w:trPr>
          <w:trHeight w:val="634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32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Модернізація мереж зовнішнього освітлення шляхом встановлення приладів диференційного обліку електроенергії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 р. – 1 од.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80,0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4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2,4</w:t>
            </w:r>
          </w:p>
        </w:tc>
      </w:tr>
      <w:tr w:rsidR="00FA3AF6" w:rsidRPr="00FA3AF6" w:rsidTr="00FA3AF6">
        <w:trPr>
          <w:trHeight w:val="8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2,3</w:t>
            </w:r>
          </w:p>
        </w:tc>
      </w:tr>
      <w:tr w:rsidR="00FA3AF6" w:rsidRPr="00FA3AF6" w:rsidTr="00FA3AF6">
        <w:trPr>
          <w:trHeight w:val="645"/>
        </w:trPr>
        <w:tc>
          <w:tcPr>
            <w:tcW w:w="5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423,1</w:t>
            </w:r>
          </w:p>
        </w:tc>
        <w:tc>
          <w:tcPr>
            <w:tcW w:w="176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64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107,8</w:t>
            </w:r>
          </w:p>
        </w:tc>
      </w:tr>
      <w:tr w:rsidR="00FA3AF6" w:rsidRPr="00FA3AF6" w:rsidTr="00FA3AF6">
        <w:trPr>
          <w:trHeight w:val="64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11,3</w:t>
            </w:r>
          </w:p>
        </w:tc>
      </w:tr>
      <w:tr w:rsidR="00FA3AF6" w:rsidRPr="00FA3AF6" w:rsidTr="00FA3AF6">
        <w:trPr>
          <w:trHeight w:val="385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3. Утеплення житлових будинків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10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Утеплення житлових будинків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 р. - 7 буд.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2314,523</w:t>
            </w:r>
          </w:p>
        </w:tc>
      </w:tr>
      <w:tr w:rsidR="00FA3AF6" w:rsidRPr="00FA3AF6" w:rsidTr="00FA3AF6">
        <w:trPr>
          <w:trHeight w:val="4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покрівель із застосуванням пінополіуретану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2012р. – 5 од.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1556,542</w:t>
            </w:r>
          </w:p>
        </w:tc>
      </w:tr>
      <w:tr w:rsidR="00FA3AF6" w:rsidRPr="00FA3AF6" w:rsidTr="00FA3AF6">
        <w:trPr>
          <w:trHeight w:val="488"/>
        </w:trPr>
        <w:tc>
          <w:tcPr>
            <w:tcW w:w="5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Всього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3871,065</w:t>
            </w:r>
          </w:p>
        </w:tc>
      </w:tr>
      <w:tr w:rsidR="00FA3AF6" w:rsidRPr="00FA3AF6" w:rsidTr="00FA3AF6">
        <w:trPr>
          <w:trHeight w:val="488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4.  Заміна центральних теплових пунктів </w:t>
            </w:r>
            <w:r w:rsidRPr="00FA3AF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(ЦТП) на індивідуальні теплові пункти (ІТП) житлових  будинків з приладами обліку теплової енергії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7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Сєвєродонецькі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теплові мережі"</w:t>
            </w:r>
          </w:p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заміна центральних теплових пунктів </w:t>
            </w:r>
            <w:r w:rsidRPr="00FA3AF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(ЦТП) на індивідуальні теплові пункти (ІТП) житлових  будинків з приладами обліку теплової енергії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2012-2015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165880,00  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Державний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488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Сєвєродонецькі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теплові мережі» капітальний ремонт рамок управління центральним опаленням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 р. -38 од.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1535,5</w:t>
            </w:r>
          </w:p>
        </w:tc>
      </w:tr>
      <w:tr w:rsidR="00FA3AF6" w:rsidRPr="00FA3AF6" w:rsidTr="00FA3AF6">
        <w:trPr>
          <w:trHeight w:val="555"/>
        </w:trPr>
        <w:tc>
          <w:tcPr>
            <w:tcW w:w="530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5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165880,00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555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1535,5</w:t>
            </w:r>
          </w:p>
        </w:tc>
      </w:tr>
      <w:tr w:rsidR="00FA3AF6" w:rsidRPr="00FA3AF6" w:rsidTr="00FA3AF6">
        <w:trPr>
          <w:trHeight w:val="701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5. К</w:t>
            </w:r>
            <w:r w:rsidRPr="00FA3AF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апітальний ремонт  систем гарячого водопостачання із заміною </w:t>
            </w:r>
            <w:proofErr w:type="spellStart"/>
            <w:r w:rsidRPr="00FA3AF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водопідігрівників</w:t>
            </w:r>
            <w:proofErr w:type="spellEnd"/>
          </w:p>
          <w:p w:rsidR="00FA3AF6" w:rsidRPr="00FA3AF6" w:rsidRDefault="00FA3AF6" w:rsidP="00FA3AF6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9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КП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"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Сєвєродонецькі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теплові мережі"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2012-2015рр.- 128 од.</w:t>
            </w:r>
          </w:p>
          <w:p w:rsidR="00FA3AF6" w:rsidRPr="00FA3AF6" w:rsidRDefault="00FA3AF6" w:rsidP="00FA3AF6">
            <w:pPr>
              <w:spacing w:after="18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2012 р. встановлено 34 од. 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1262,547</w:t>
            </w:r>
          </w:p>
        </w:tc>
      </w:tr>
      <w:tr w:rsidR="00FA3AF6" w:rsidRPr="00FA3AF6" w:rsidTr="00FA3AF6">
        <w:trPr>
          <w:trHeight w:val="24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6.Проведення 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енергоаудиту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об’єктів</w:t>
            </w:r>
          </w:p>
          <w:p w:rsidR="00FA3AF6" w:rsidRPr="00FA3AF6" w:rsidRDefault="00FA3AF6" w:rsidP="00FA3AF6">
            <w:pPr>
              <w:spacing w:after="180" w:line="24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56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Житлосервіси</w:t>
            </w:r>
            <w:proofErr w:type="spellEnd"/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388"/>
        </w:trPr>
        <w:tc>
          <w:tcPr>
            <w:tcW w:w="96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7. Освіта, навчання, підготовка кадрів з напрямку енергозбереження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FA3AF6" w:rsidRPr="00FA3AF6" w:rsidTr="00FA3AF6">
        <w:trPr>
          <w:trHeight w:val="72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7.1.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Підприємства житлово-комунального господарства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2011-2015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698"/>
        </w:trPr>
        <w:tc>
          <w:tcPr>
            <w:tcW w:w="40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Загальні обсяги орієнтовного фінансування</w:t>
            </w:r>
          </w:p>
        </w:tc>
        <w:tc>
          <w:tcPr>
            <w:tcW w:w="154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177933,1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6776,912</w:t>
            </w:r>
          </w:p>
        </w:tc>
      </w:tr>
      <w:tr w:rsidR="00FA3AF6" w:rsidRPr="00FA3AF6" w:rsidTr="00FA3AF6">
        <w:trPr>
          <w:trHeight w:val="6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A3AF6" w:rsidRPr="00FA3AF6" w:rsidTr="00FA3AF6">
        <w:trPr>
          <w:trHeight w:val="57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Кошти підприємства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111,3</w:t>
            </w:r>
          </w:p>
        </w:tc>
      </w:tr>
      <w:tr w:rsidR="00FA3AF6" w:rsidRPr="00FA3AF6" w:rsidTr="00FA3AF6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AF6" w:rsidRPr="00FA3AF6" w:rsidRDefault="00FA3AF6" w:rsidP="00FA3AF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A3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6888,212</w:t>
            </w:r>
          </w:p>
        </w:tc>
      </w:tr>
      <w:tr w:rsidR="00FA3AF6" w:rsidRPr="00FA3AF6" w:rsidTr="00FA3AF6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3AF6" w:rsidRPr="00FA3AF6" w:rsidRDefault="00FA3AF6" w:rsidP="00FA3AF6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FA3AF6"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  <w:t> </w:t>
            </w:r>
          </w:p>
        </w:tc>
      </w:tr>
    </w:tbl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5. Пропозиції щодо забезпечення подальшого виконання Програми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</w:t>
      </w:r>
    </w:p>
    <w:p w:rsidR="00FA3AF6" w:rsidRPr="00FA3AF6" w:rsidRDefault="00FA3AF6" w:rsidP="00FA3AF6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Продовжити виконання Програми  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енергоефективності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та енергозбереження</w:t>
      </w:r>
    </w:p>
    <w:p w:rsidR="00FA3AF6" w:rsidRPr="00FA3AF6" w:rsidRDefault="00FA3AF6" w:rsidP="00FA3AF6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житлово-комунального господарства м. </w:t>
      </w:r>
      <w:proofErr w:type="spellStart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Сєвєродонецька</w:t>
      </w:r>
      <w:proofErr w:type="spellEnd"/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 xml:space="preserve"> у 2013 році.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A3AF6" w:rsidRPr="00FA3AF6" w:rsidRDefault="00FA3AF6" w:rsidP="00FA3AF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FA3AF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Секретар міської ради            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F6"/>
    <w:rsid w:val="000D5955"/>
    <w:rsid w:val="00C62C0A"/>
    <w:rsid w:val="00F846EA"/>
    <w:rsid w:val="00FA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A3A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A3AF6"/>
  </w:style>
  <w:style w:type="paragraph" w:styleId="a3">
    <w:name w:val="Normal (Web)"/>
    <w:basedOn w:val="a"/>
    <w:uiPriority w:val="99"/>
    <w:semiHidden/>
    <w:unhideWhenUsed/>
    <w:rsid w:val="00FA3A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A3A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3AF6"/>
    <w:rPr>
      <w:i/>
      <w:iCs/>
    </w:rPr>
  </w:style>
  <w:style w:type="character" w:styleId="a6">
    <w:name w:val="Strong"/>
    <w:basedOn w:val="a0"/>
    <w:uiPriority w:val="22"/>
    <w:qFormat/>
    <w:rsid w:val="00FA3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1479</Words>
  <Characters>8435</Characters>
  <Application>Microsoft Office Word</Application>
  <DocSecurity>0</DocSecurity>
  <Lines>70</Lines>
  <Paragraphs>19</Paragraphs>
  <ScaleCrop>false</ScaleCrop>
  <Company>Северодонецкие вести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2016-05-16T12:16:00Z</dcterms:created>
  <dcterms:modified xsi:type="dcterms:W3CDTF">2016-05-16T12:16:00Z</dcterms:modified>
</cp:coreProperties>
</file>